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C75" w:rsidRDefault="00526F34">
      <w:pPr>
        <w:spacing w:line="360" w:lineRule="auto"/>
        <w:jc w:val="center"/>
        <w:rPr>
          <w:rFonts w:ascii="宋体" w:eastAsia="宋体" w:hAnsi="宋体"/>
          <w:b/>
          <w:bCs/>
          <w:sz w:val="40"/>
          <w:szCs w:val="44"/>
        </w:rPr>
      </w:pPr>
      <w:r>
        <w:rPr>
          <w:rFonts w:ascii="宋体" w:eastAsia="宋体" w:hAnsi="宋体" w:hint="eastAsia"/>
          <w:b/>
          <w:bCs/>
          <w:sz w:val="40"/>
          <w:szCs w:val="44"/>
        </w:rPr>
        <w:t>《制盐工业通用检测方法</w:t>
      </w:r>
      <w:r>
        <w:rPr>
          <w:rFonts w:ascii="宋体" w:eastAsia="宋体" w:hAnsi="宋体" w:hint="eastAsia"/>
          <w:b/>
          <w:bCs/>
          <w:sz w:val="40"/>
          <w:szCs w:val="44"/>
        </w:rPr>
        <w:t xml:space="preserve"> </w:t>
      </w:r>
      <w:r>
        <w:rPr>
          <w:rFonts w:ascii="宋体" w:eastAsia="宋体" w:hAnsi="宋体" w:hint="eastAsia"/>
          <w:b/>
          <w:bCs/>
          <w:sz w:val="40"/>
          <w:szCs w:val="44"/>
        </w:rPr>
        <w:t>丙烯酰胺</w:t>
      </w:r>
      <w:r>
        <w:rPr>
          <w:rFonts w:ascii="宋体" w:eastAsia="宋体" w:hAnsi="宋体" w:hint="eastAsia"/>
          <w:b/>
          <w:bCs/>
          <w:sz w:val="40"/>
          <w:szCs w:val="44"/>
        </w:rPr>
        <w:t>的测定》</w:t>
      </w:r>
    </w:p>
    <w:p w:rsidR="006C4C75" w:rsidRDefault="00526F34">
      <w:pPr>
        <w:spacing w:line="360" w:lineRule="auto"/>
        <w:jc w:val="center"/>
        <w:rPr>
          <w:rFonts w:ascii="宋体" w:eastAsia="宋体" w:hAnsi="宋体"/>
          <w:b/>
          <w:bCs/>
          <w:sz w:val="40"/>
          <w:szCs w:val="44"/>
        </w:rPr>
      </w:pPr>
      <w:r>
        <w:rPr>
          <w:rFonts w:ascii="宋体" w:eastAsia="宋体" w:hAnsi="宋体" w:hint="eastAsia"/>
          <w:b/>
          <w:bCs/>
          <w:sz w:val="40"/>
          <w:szCs w:val="44"/>
        </w:rPr>
        <w:t>编制说明（征求意见稿）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一、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bCs/>
          <w:sz w:val="24"/>
          <w:szCs w:val="24"/>
        </w:rPr>
        <w:t>工作简况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>1</w:t>
      </w:r>
      <w:r>
        <w:rPr>
          <w:rFonts w:ascii="宋体" w:eastAsia="宋体" w:hAnsi="宋体" w:hint="eastAsia"/>
          <w:b/>
          <w:bCs/>
          <w:sz w:val="24"/>
          <w:szCs w:val="24"/>
        </w:rPr>
        <w:t>、任务来源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本项目根据工业和信息化部《关于印发</w:t>
      </w:r>
      <w:r>
        <w:rPr>
          <w:rFonts w:ascii="宋体" w:eastAsia="宋体" w:hAnsi="宋体" w:hint="eastAsia"/>
          <w:sz w:val="24"/>
          <w:szCs w:val="24"/>
        </w:rPr>
        <w:t>202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年第</w:t>
      </w:r>
      <w:r>
        <w:rPr>
          <w:rFonts w:ascii="宋体" w:eastAsia="宋体" w:hAnsi="宋体" w:hint="eastAsia"/>
          <w:sz w:val="24"/>
          <w:szCs w:val="24"/>
        </w:rPr>
        <w:t>五</w:t>
      </w:r>
      <w:r>
        <w:rPr>
          <w:rFonts w:ascii="宋体" w:eastAsia="宋体" w:hAnsi="宋体" w:hint="eastAsia"/>
          <w:sz w:val="24"/>
          <w:szCs w:val="24"/>
        </w:rPr>
        <w:t>批行业标准制修订和外文版项目计划的</w:t>
      </w:r>
      <w:r>
        <w:rPr>
          <w:rFonts w:ascii="宋体" w:eastAsia="宋体" w:hAnsi="宋体" w:hint="eastAsia"/>
          <w:sz w:val="24"/>
          <w:szCs w:val="24"/>
        </w:rPr>
        <w:t>通知》（</w:t>
      </w:r>
      <w:proofErr w:type="gramStart"/>
      <w:r>
        <w:rPr>
          <w:rFonts w:ascii="宋体" w:eastAsia="宋体" w:hAnsi="宋体" w:hint="eastAsia"/>
          <w:sz w:val="24"/>
          <w:szCs w:val="24"/>
        </w:rPr>
        <w:t>工信厅科</w:t>
      </w:r>
      <w:proofErr w:type="gramEnd"/>
      <w:r>
        <w:rPr>
          <w:rFonts w:ascii="宋体" w:eastAsia="宋体" w:hAnsi="宋体" w:hint="eastAsia"/>
          <w:sz w:val="24"/>
          <w:szCs w:val="24"/>
        </w:rPr>
        <w:t>〔</w:t>
      </w:r>
      <w:r>
        <w:rPr>
          <w:rFonts w:ascii="宋体" w:eastAsia="宋体" w:hAnsi="宋体"/>
          <w:sz w:val="24"/>
          <w:szCs w:val="24"/>
        </w:rPr>
        <w:t>20</w:t>
      </w:r>
      <w:r>
        <w:rPr>
          <w:rFonts w:ascii="宋体" w:eastAsia="宋体" w:hAnsi="宋体" w:hint="eastAsia"/>
          <w:sz w:val="24"/>
          <w:szCs w:val="24"/>
        </w:rPr>
        <w:t>25</w:t>
      </w:r>
      <w:r>
        <w:rPr>
          <w:rFonts w:ascii="宋体" w:eastAsia="宋体" w:hAnsi="宋体" w:hint="eastAsia"/>
          <w:sz w:val="24"/>
          <w:szCs w:val="24"/>
        </w:rPr>
        <w:t>〕</w:t>
      </w:r>
      <w:r>
        <w:rPr>
          <w:rFonts w:ascii="宋体" w:eastAsia="宋体" w:hAnsi="宋体" w:hint="eastAsia"/>
          <w:sz w:val="24"/>
          <w:szCs w:val="24"/>
        </w:rPr>
        <w:t>52</w:t>
      </w:r>
      <w:r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号）要求，计划编号为</w:t>
      </w:r>
      <w:r>
        <w:rPr>
          <w:rFonts w:ascii="宋体" w:eastAsia="宋体" w:hAnsi="宋体"/>
          <w:sz w:val="24"/>
          <w:szCs w:val="24"/>
        </w:rPr>
        <w:t xml:space="preserve"> 202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-</w:t>
      </w:r>
      <w:r>
        <w:rPr>
          <w:rFonts w:ascii="宋体" w:eastAsia="宋体" w:hAnsi="宋体" w:hint="eastAsia"/>
          <w:sz w:val="24"/>
          <w:szCs w:val="24"/>
        </w:rPr>
        <w:t>1604</w:t>
      </w:r>
      <w:r>
        <w:rPr>
          <w:rFonts w:ascii="宋体" w:eastAsia="宋体" w:hAnsi="宋体"/>
          <w:sz w:val="24"/>
          <w:szCs w:val="24"/>
        </w:rPr>
        <w:t>T-QB</w:t>
      </w:r>
      <w:r>
        <w:rPr>
          <w:rFonts w:ascii="宋体" w:eastAsia="宋体" w:hAnsi="宋体" w:hint="eastAsia"/>
          <w:sz w:val="24"/>
          <w:szCs w:val="24"/>
        </w:rPr>
        <w:t>，项目名称“制盐工业通用检测方法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丙烯酰胺</w:t>
      </w:r>
      <w:r>
        <w:rPr>
          <w:rFonts w:ascii="宋体" w:eastAsia="宋体" w:hAnsi="宋体" w:hint="eastAsia"/>
          <w:sz w:val="24"/>
          <w:szCs w:val="24"/>
        </w:rPr>
        <w:t>的测定”进行标准制订，主要起草单位</w:t>
      </w:r>
      <w:r>
        <w:rPr>
          <w:rFonts w:ascii="宋体" w:eastAsia="宋体" w:hAnsi="宋体" w:hint="eastAsia"/>
          <w:sz w:val="24"/>
          <w:szCs w:val="24"/>
        </w:rPr>
        <w:t>：</w:t>
      </w:r>
      <w:proofErr w:type="gramStart"/>
      <w:r>
        <w:rPr>
          <w:rFonts w:ascii="宋体" w:eastAsia="宋体" w:hAnsi="宋体" w:hint="eastAsia"/>
          <w:sz w:val="24"/>
          <w:szCs w:val="24"/>
        </w:rPr>
        <w:t>国盐检测</w:t>
      </w:r>
      <w:proofErr w:type="gramEnd"/>
      <w:r>
        <w:rPr>
          <w:rFonts w:ascii="宋体" w:eastAsia="宋体" w:hAnsi="宋体" w:hint="eastAsia"/>
          <w:sz w:val="24"/>
          <w:szCs w:val="24"/>
        </w:rPr>
        <w:t>（天津）有限责任公司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中盐工程技术研究院有限公司、天津科技大学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计划完成时间</w:t>
      </w:r>
      <w:r>
        <w:rPr>
          <w:rFonts w:ascii="宋体" w:eastAsia="宋体" w:hAnsi="宋体" w:hint="eastAsia"/>
          <w:sz w:val="24"/>
          <w:szCs w:val="24"/>
        </w:rPr>
        <w:t>202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12</w:t>
      </w:r>
      <w:r>
        <w:rPr>
          <w:rFonts w:ascii="宋体" w:eastAsia="宋体" w:hAnsi="宋体" w:hint="eastAsia"/>
          <w:sz w:val="24"/>
          <w:szCs w:val="24"/>
        </w:rPr>
        <w:t>月。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>2</w:t>
      </w:r>
      <w:r>
        <w:rPr>
          <w:rFonts w:ascii="宋体" w:eastAsia="宋体" w:hAnsi="宋体" w:hint="eastAsia"/>
          <w:b/>
          <w:bCs/>
          <w:sz w:val="24"/>
          <w:szCs w:val="24"/>
        </w:rPr>
        <w:t>、主要起草过程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2</w:t>
      </w:r>
      <w:r>
        <w:rPr>
          <w:rFonts w:ascii="宋体" w:eastAsia="宋体" w:hAnsi="宋体"/>
          <w:b/>
          <w:sz w:val="24"/>
          <w:szCs w:val="24"/>
        </w:rPr>
        <w:t>.1</w:t>
      </w:r>
      <w:r>
        <w:rPr>
          <w:rFonts w:ascii="宋体" w:eastAsia="宋体" w:hAnsi="宋体"/>
          <w:b/>
          <w:sz w:val="24"/>
          <w:szCs w:val="24"/>
        </w:rPr>
        <w:t>起草阶段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标准起草任务下达后，起草单位组织专家成立了标准起草工作组，</w:t>
      </w:r>
      <w:r>
        <w:rPr>
          <w:rFonts w:ascii="宋体" w:eastAsia="宋体" w:hAnsi="宋体"/>
          <w:sz w:val="24"/>
          <w:szCs w:val="24"/>
        </w:rPr>
        <w:t>小组成员中有多年从事标准化工作且经验丰富的</w:t>
      </w:r>
      <w:r>
        <w:rPr>
          <w:rFonts w:ascii="宋体" w:eastAsia="宋体" w:hAnsi="宋体" w:hint="eastAsia"/>
          <w:sz w:val="24"/>
          <w:szCs w:val="24"/>
        </w:rPr>
        <w:t>工程师、</w:t>
      </w:r>
      <w:r>
        <w:rPr>
          <w:rFonts w:ascii="宋体" w:eastAsia="宋体" w:hAnsi="宋体"/>
          <w:sz w:val="24"/>
          <w:szCs w:val="24"/>
        </w:rPr>
        <w:t>检测</w:t>
      </w:r>
      <w:r>
        <w:rPr>
          <w:rFonts w:ascii="宋体" w:eastAsia="宋体" w:hAnsi="宋体" w:hint="eastAsia"/>
          <w:sz w:val="24"/>
          <w:szCs w:val="24"/>
        </w:rPr>
        <w:t>人员。标准起草工作组</w:t>
      </w:r>
      <w:r>
        <w:rPr>
          <w:rFonts w:ascii="宋体" w:eastAsia="宋体" w:hAnsi="宋体"/>
          <w:sz w:val="24"/>
          <w:szCs w:val="24"/>
        </w:rPr>
        <w:t>对标准编写工作进行</w:t>
      </w:r>
      <w:r>
        <w:rPr>
          <w:rFonts w:ascii="宋体" w:eastAsia="宋体" w:hAnsi="宋体" w:hint="eastAsia"/>
          <w:sz w:val="24"/>
          <w:szCs w:val="24"/>
        </w:rPr>
        <w:t>初步</w:t>
      </w:r>
      <w:r>
        <w:rPr>
          <w:rFonts w:ascii="宋体" w:eastAsia="宋体" w:hAnsi="宋体"/>
          <w:sz w:val="24"/>
          <w:szCs w:val="24"/>
        </w:rPr>
        <w:t>讨论和安排</w:t>
      </w:r>
      <w:r>
        <w:rPr>
          <w:rFonts w:ascii="宋体" w:eastAsia="宋体" w:hAnsi="宋体" w:hint="eastAsia"/>
          <w:sz w:val="24"/>
          <w:szCs w:val="24"/>
        </w:rPr>
        <w:t>，明确了标准起草进程和各起草单位及人员的分工。小组成员根据制定标准需要，查阅相关文献，收集了大量资料，并与</w:t>
      </w:r>
      <w:r>
        <w:rPr>
          <w:rFonts w:ascii="宋体" w:eastAsia="宋体" w:hAnsi="宋体" w:hint="eastAsia"/>
          <w:sz w:val="24"/>
          <w:szCs w:val="24"/>
        </w:rPr>
        <w:t>使用丙烯酰胺的</w:t>
      </w:r>
      <w:r>
        <w:rPr>
          <w:rFonts w:ascii="宋体" w:eastAsia="宋体" w:hAnsi="宋体" w:hint="eastAsia"/>
          <w:sz w:val="24"/>
          <w:szCs w:val="24"/>
        </w:rPr>
        <w:t>食盐生产企业进行技术交流，充分了解对盐产品及卤水中</w:t>
      </w:r>
      <w:r>
        <w:rPr>
          <w:rFonts w:ascii="宋体" w:eastAsia="宋体" w:hAnsi="宋体" w:hint="eastAsia"/>
          <w:sz w:val="24"/>
          <w:szCs w:val="24"/>
        </w:rPr>
        <w:t>丙烯酰胺</w:t>
      </w:r>
      <w:r>
        <w:rPr>
          <w:rFonts w:ascii="宋体" w:eastAsia="宋体" w:hAnsi="宋体" w:hint="eastAsia"/>
          <w:sz w:val="24"/>
          <w:szCs w:val="24"/>
        </w:rPr>
        <w:t>含量检测方法等信息，为进一步试验做准备。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202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至</w:t>
      </w:r>
      <w:r>
        <w:rPr>
          <w:rFonts w:ascii="宋体" w:eastAsia="宋体" w:hAnsi="宋体"/>
          <w:sz w:val="24"/>
          <w:szCs w:val="24"/>
        </w:rPr>
        <w:t>202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月间，</w:t>
      </w:r>
      <w:r>
        <w:rPr>
          <w:rFonts w:ascii="宋体" w:eastAsia="宋体" w:hAnsi="宋体" w:hint="eastAsia"/>
          <w:sz w:val="24"/>
          <w:szCs w:val="24"/>
        </w:rPr>
        <w:t>组织本标准项目起草人，以交流、技术咨询等方式对产品中</w:t>
      </w:r>
      <w:r>
        <w:rPr>
          <w:rFonts w:ascii="宋体" w:eastAsia="宋体" w:hAnsi="宋体" w:hint="eastAsia"/>
          <w:sz w:val="24"/>
          <w:szCs w:val="24"/>
        </w:rPr>
        <w:t>丙烯酰胺</w:t>
      </w:r>
      <w:r>
        <w:rPr>
          <w:rFonts w:ascii="宋体" w:eastAsia="宋体" w:hAnsi="宋体" w:hint="eastAsia"/>
          <w:sz w:val="24"/>
          <w:szCs w:val="24"/>
        </w:rPr>
        <w:t>的状态展开调研。</w:t>
      </w:r>
      <w:r>
        <w:rPr>
          <w:rFonts w:ascii="宋体" w:eastAsia="宋体" w:hAnsi="宋体" w:hint="eastAsia"/>
          <w:sz w:val="24"/>
          <w:szCs w:val="24"/>
        </w:rPr>
        <w:t>同时</w:t>
      </w:r>
      <w:r>
        <w:rPr>
          <w:rFonts w:ascii="宋体" w:eastAsia="宋体" w:hAnsi="宋体"/>
          <w:sz w:val="24"/>
          <w:szCs w:val="24"/>
        </w:rPr>
        <w:t>收集了</w:t>
      </w:r>
      <w:r>
        <w:rPr>
          <w:rFonts w:ascii="宋体" w:eastAsia="宋体" w:hAnsi="宋体" w:hint="eastAsia"/>
          <w:sz w:val="24"/>
          <w:szCs w:val="24"/>
        </w:rPr>
        <w:t>各行业关于</w:t>
      </w:r>
      <w:r>
        <w:rPr>
          <w:rFonts w:ascii="宋体" w:eastAsia="宋体" w:hAnsi="宋体" w:hint="eastAsia"/>
          <w:sz w:val="24"/>
          <w:szCs w:val="24"/>
        </w:rPr>
        <w:t>丙烯酰胺</w:t>
      </w:r>
      <w:r>
        <w:rPr>
          <w:rFonts w:ascii="宋体" w:eastAsia="宋体" w:hAnsi="宋体" w:hint="eastAsia"/>
          <w:sz w:val="24"/>
          <w:szCs w:val="24"/>
        </w:rPr>
        <w:t>的检测原理及方法。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202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月至</w:t>
      </w:r>
      <w:r>
        <w:rPr>
          <w:rFonts w:ascii="宋体" w:eastAsia="宋体" w:hAnsi="宋体"/>
          <w:sz w:val="24"/>
          <w:szCs w:val="24"/>
        </w:rPr>
        <w:t>202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基于前期深度调研成果，系统开展食用盐与卤水</w:t>
      </w:r>
      <w:r>
        <w:rPr>
          <w:rFonts w:ascii="宋体" w:eastAsia="宋体" w:hAnsi="宋体" w:hint="eastAsia"/>
          <w:sz w:val="24"/>
          <w:szCs w:val="24"/>
        </w:rPr>
        <w:t>丙烯酰胺</w:t>
      </w:r>
      <w:r>
        <w:rPr>
          <w:rFonts w:ascii="宋体" w:eastAsia="宋体" w:hAnsi="宋体" w:cs="宋体"/>
          <w:sz w:val="24"/>
          <w:szCs w:val="24"/>
        </w:rPr>
        <w:t>检测方法验证试验，经</w:t>
      </w:r>
      <w:r>
        <w:rPr>
          <w:rFonts w:ascii="宋体" w:eastAsia="宋体" w:hAnsi="宋体" w:cs="宋体" w:hint="eastAsia"/>
          <w:sz w:val="24"/>
          <w:szCs w:val="24"/>
        </w:rPr>
        <w:t>大量</w:t>
      </w:r>
      <w:r>
        <w:rPr>
          <w:rFonts w:ascii="宋体" w:eastAsia="宋体" w:hAnsi="宋体" w:cs="宋体"/>
          <w:sz w:val="24"/>
          <w:szCs w:val="24"/>
        </w:rPr>
        <w:t>试验综合论证，筛选确定适配性最优、科学合理的食用盐及卤水检测方法。</w:t>
      </w:r>
      <w:r>
        <w:rPr>
          <w:rFonts w:ascii="宋体" w:eastAsia="宋体" w:hAnsi="宋体" w:cs="宋体" w:hint="eastAsia"/>
          <w:sz w:val="24"/>
          <w:szCs w:val="24"/>
        </w:rPr>
        <w:t>而后</w:t>
      </w:r>
      <w:r>
        <w:rPr>
          <w:rFonts w:ascii="宋体" w:eastAsia="宋体" w:hAnsi="宋体" w:hint="eastAsia"/>
          <w:sz w:val="24"/>
          <w:szCs w:val="24"/>
        </w:rPr>
        <w:t>标准起草工作组</w:t>
      </w:r>
      <w:r>
        <w:rPr>
          <w:rFonts w:ascii="宋体" w:eastAsia="宋体" w:hAnsi="宋体"/>
          <w:sz w:val="24"/>
          <w:szCs w:val="24"/>
        </w:rPr>
        <w:t>,</w:t>
      </w:r>
      <w:r>
        <w:rPr>
          <w:rFonts w:ascii="宋体" w:eastAsia="宋体" w:hAnsi="宋体" w:hint="eastAsia"/>
          <w:sz w:val="24"/>
          <w:szCs w:val="24"/>
        </w:rPr>
        <w:t>对验证数据进行了归纳、整理和讨论，邀请专家对标准及编制说明提出修改意见，形成标准征求意见稿。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在标准前期调研、文本编写过程中，</w:t>
      </w:r>
      <w:r w:rsidRPr="008F6184">
        <w:rPr>
          <w:rFonts w:ascii="宋体" w:eastAsia="宋体" w:hAnsi="宋体" w:hint="eastAsia"/>
          <w:sz w:val="24"/>
          <w:szCs w:val="24"/>
        </w:rPr>
        <w:t>中盐金坛盐化有限责任公司</w:t>
      </w:r>
      <w:r w:rsidRPr="008F6184">
        <w:rPr>
          <w:rFonts w:ascii="宋体" w:eastAsia="宋体" w:hAnsi="宋体" w:hint="eastAsia"/>
          <w:sz w:val="24"/>
          <w:szCs w:val="24"/>
        </w:rPr>
        <w:t>、云南省盐业有限公司、四川为众检测科技有限公司</w:t>
      </w:r>
      <w:r w:rsidRPr="008F6184">
        <w:rPr>
          <w:rFonts w:ascii="宋体" w:eastAsia="宋体" w:hAnsi="宋体" w:hint="eastAsia"/>
          <w:sz w:val="24"/>
          <w:szCs w:val="24"/>
        </w:rPr>
        <w:t>做了大量</w:t>
      </w:r>
      <w:r w:rsidRPr="008F6184">
        <w:rPr>
          <w:rFonts w:ascii="宋体" w:eastAsia="宋体" w:hAnsi="宋体" w:hint="eastAsia"/>
          <w:sz w:val="24"/>
          <w:szCs w:val="24"/>
        </w:rPr>
        <w:t>工作</w:t>
      </w:r>
      <w:r w:rsidRPr="008F6184">
        <w:rPr>
          <w:rFonts w:ascii="宋体" w:eastAsia="宋体" w:hAnsi="宋体" w:hint="eastAsia"/>
          <w:sz w:val="24"/>
          <w:szCs w:val="24"/>
        </w:rPr>
        <w:t>，</w:t>
      </w:r>
      <w:r w:rsidRPr="008F6184">
        <w:rPr>
          <w:rFonts w:ascii="宋体" w:eastAsia="宋体" w:hAnsi="宋体" w:hint="eastAsia"/>
          <w:sz w:val="24"/>
          <w:szCs w:val="24"/>
        </w:rPr>
        <w:t>工作组经研讨，提出标准起草单位变更的申请。经全体委员一致同意后，于</w:t>
      </w:r>
      <w:r w:rsidRPr="008F6184">
        <w:rPr>
          <w:rFonts w:ascii="宋体" w:eastAsia="宋体" w:hAnsi="宋体" w:hint="eastAsia"/>
          <w:sz w:val="24"/>
          <w:szCs w:val="24"/>
        </w:rPr>
        <w:t>202</w:t>
      </w:r>
      <w:r w:rsidRPr="008F6184">
        <w:rPr>
          <w:rFonts w:ascii="宋体" w:eastAsia="宋体" w:hAnsi="宋体" w:hint="eastAsia"/>
          <w:sz w:val="24"/>
          <w:szCs w:val="24"/>
        </w:rPr>
        <w:t>6</w:t>
      </w:r>
      <w:r w:rsidRPr="008F6184">
        <w:rPr>
          <w:rFonts w:ascii="宋体" w:eastAsia="宋体" w:hAnsi="宋体" w:hint="eastAsia"/>
          <w:sz w:val="24"/>
          <w:szCs w:val="24"/>
        </w:rPr>
        <w:t>年</w:t>
      </w:r>
      <w:r w:rsidRPr="008F6184">
        <w:rPr>
          <w:rFonts w:ascii="宋体" w:eastAsia="宋体" w:hAnsi="宋体" w:hint="eastAsia"/>
          <w:sz w:val="24"/>
          <w:szCs w:val="24"/>
        </w:rPr>
        <w:t>7</w:t>
      </w:r>
      <w:r w:rsidRPr="008F6184">
        <w:rPr>
          <w:rFonts w:ascii="宋体" w:eastAsia="宋体" w:hAnsi="宋体" w:hint="eastAsia"/>
          <w:sz w:val="24"/>
          <w:szCs w:val="24"/>
        </w:rPr>
        <w:t>月</w:t>
      </w:r>
      <w:r w:rsidRPr="008F6184">
        <w:rPr>
          <w:rFonts w:ascii="宋体" w:eastAsia="宋体" w:hAnsi="宋体" w:hint="eastAsia"/>
          <w:sz w:val="24"/>
          <w:szCs w:val="24"/>
        </w:rPr>
        <w:t>2</w:t>
      </w:r>
      <w:r w:rsidRPr="008F6184">
        <w:rPr>
          <w:rFonts w:ascii="宋体" w:eastAsia="宋体" w:hAnsi="宋体" w:hint="eastAsia"/>
          <w:sz w:val="24"/>
          <w:szCs w:val="24"/>
        </w:rPr>
        <w:t>日</w:t>
      </w:r>
      <w:r w:rsidRPr="008F6184">
        <w:rPr>
          <w:rFonts w:ascii="宋体" w:eastAsia="宋体" w:hAnsi="宋体" w:hint="eastAsia"/>
          <w:sz w:val="24"/>
          <w:szCs w:val="24"/>
        </w:rPr>
        <w:t>办</w:t>
      </w:r>
      <w:r>
        <w:rPr>
          <w:rFonts w:ascii="宋体" w:eastAsia="宋体" w:hAnsi="宋体" w:hint="eastAsia"/>
          <w:sz w:val="24"/>
          <w:szCs w:val="24"/>
        </w:rPr>
        <w:t>理了计划项目调整申请。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2</w:t>
      </w:r>
      <w:r>
        <w:rPr>
          <w:rFonts w:ascii="宋体" w:eastAsia="宋体" w:hAnsi="宋体"/>
          <w:b/>
          <w:sz w:val="24"/>
          <w:szCs w:val="24"/>
        </w:rPr>
        <w:t>.2</w:t>
      </w:r>
      <w:r>
        <w:rPr>
          <w:rFonts w:ascii="宋体" w:eastAsia="宋体" w:hAnsi="宋体"/>
          <w:b/>
          <w:sz w:val="24"/>
          <w:szCs w:val="24"/>
        </w:rPr>
        <w:t>征求意见阶段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行业标准的草案初稿形成后，该草案初稿经过讨论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/>
          <w:sz w:val="24"/>
          <w:szCs w:val="24"/>
        </w:rPr>
        <w:t>修改，形成了标准的征求意见稿，报全国盐业标准化技术委员会开始公开征求意见。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2.3</w:t>
      </w:r>
      <w:r>
        <w:rPr>
          <w:rFonts w:ascii="宋体" w:eastAsia="宋体" w:hAnsi="宋体"/>
          <w:b/>
          <w:sz w:val="24"/>
          <w:szCs w:val="24"/>
        </w:rPr>
        <w:t>主要参加单位</w:t>
      </w:r>
    </w:p>
    <w:p w:rsidR="006C4C75" w:rsidRPr="008F6184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本标准</w:t>
      </w:r>
      <w:proofErr w:type="gramStart"/>
      <w:r>
        <w:rPr>
          <w:rFonts w:ascii="宋体" w:eastAsia="宋体" w:hAnsi="宋体" w:hint="eastAsia"/>
          <w:sz w:val="24"/>
          <w:szCs w:val="24"/>
        </w:rPr>
        <w:t>由国盐检测</w:t>
      </w:r>
      <w:proofErr w:type="gramEnd"/>
      <w:r>
        <w:rPr>
          <w:rFonts w:ascii="宋体" w:eastAsia="宋体" w:hAnsi="宋体" w:hint="eastAsia"/>
          <w:sz w:val="24"/>
          <w:szCs w:val="24"/>
        </w:rPr>
        <w:t>（天津）有限责任公司、中盐工程技术研究院有限公司</w:t>
      </w:r>
      <w:r>
        <w:rPr>
          <w:rFonts w:ascii="宋体" w:eastAsia="宋体" w:hAnsi="宋体" w:hint="eastAsia"/>
          <w:sz w:val="24"/>
          <w:szCs w:val="24"/>
        </w:rPr>
        <w:t>、天津科技大学、</w:t>
      </w:r>
      <w:r w:rsidRPr="008F6184">
        <w:rPr>
          <w:rFonts w:ascii="宋体" w:eastAsia="宋体" w:hAnsi="宋体" w:hint="eastAsia"/>
          <w:sz w:val="24"/>
          <w:szCs w:val="24"/>
        </w:rPr>
        <w:t>中盐金坛盐化有限责任公司</w:t>
      </w:r>
      <w:r w:rsidRPr="008F6184">
        <w:rPr>
          <w:rFonts w:ascii="宋体" w:eastAsia="宋体" w:hAnsi="宋体" w:hint="eastAsia"/>
          <w:sz w:val="24"/>
          <w:szCs w:val="24"/>
        </w:rPr>
        <w:t>、云南省盐业有限公司、四川为众检测科技有限公司</w:t>
      </w:r>
      <w:r w:rsidRPr="008F6184">
        <w:rPr>
          <w:rFonts w:ascii="宋体" w:eastAsia="宋体" w:hAnsi="宋体" w:hint="eastAsia"/>
          <w:sz w:val="24"/>
          <w:szCs w:val="24"/>
        </w:rPr>
        <w:t>共同起草。</w:t>
      </w:r>
    </w:p>
    <w:p w:rsidR="006C4C75" w:rsidRPr="008F6184" w:rsidRDefault="00526F34">
      <w:pPr>
        <w:pStyle w:val="a8"/>
        <w:spacing w:line="360" w:lineRule="auto"/>
        <w:ind w:firstLine="480"/>
        <w:rPr>
          <w:rFonts w:hAnsi="宋体" w:cstheme="minorBidi"/>
          <w:kern w:val="2"/>
          <w:sz w:val="24"/>
          <w:szCs w:val="24"/>
        </w:rPr>
      </w:pPr>
      <w:r w:rsidRPr="008F6184">
        <w:rPr>
          <w:rFonts w:hAnsi="宋体" w:cstheme="minorBidi" w:hint="eastAsia"/>
          <w:kern w:val="2"/>
          <w:sz w:val="24"/>
          <w:szCs w:val="24"/>
        </w:rPr>
        <w:t>本标准主要起草人：赵君楠、赵丽娜、唐娜、徐俊辉</w:t>
      </w:r>
      <w:r w:rsidRPr="008F6184">
        <w:rPr>
          <w:rFonts w:hAnsi="宋体" w:cstheme="minorBidi" w:hint="eastAsia"/>
          <w:kern w:val="2"/>
          <w:sz w:val="24"/>
          <w:szCs w:val="24"/>
        </w:rPr>
        <w:t>、</w:t>
      </w:r>
      <w:r w:rsidRPr="008F6184">
        <w:rPr>
          <w:rFonts w:hAnsi="宋体" w:cstheme="minorBidi" w:hint="eastAsia"/>
          <w:kern w:val="2"/>
          <w:sz w:val="24"/>
          <w:szCs w:val="24"/>
        </w:rPr>
        <w:t>何劲、雷文杰、李娜、王小瑀、</w:t>
      </w:r>
      <w:r w:rsidR="008F6184" w:rsidRPr="008F6184">
        <w:rPr>
          <w:rFonts w:hAnsi="宋体" w:cstheme="minorBidi" w:hint="eastAsia"/>
          <w:kern w:val="2"/>
          <w:sz w:val="24"/>
          <w:szCs w:val="24"/>
        </w:rPr>
        <w:t>朱磊、</w:t>
      </w:r>
      <w:r w:rsidRPr="008F6184">
        <w:rPr>
          <w:rFonts w:hAnsi="宋体" w:cstheme="minorBidi" w:hint="eastAsia"/>
          <w:kern w:val="2"/>
          <w:sz w:val="24"/>
          <w:szCs w:val="24"/>
        </w:rPr>
        <w:t>车丽、张建平、</w:t>
      </w:r>
      <w:r w:rsidRPr="008F6184">
        <w:rPr>
          <w:rFonts w:hAnsi="宋体" w:cstheme="minorBidi" w:hint="eastAsia"/>
          <w:kern w:val="2"/>
          <w:sz w:val="24"/>
          <w:szCs w:val="24"/>
        </w:rPr>
        <w:t>胡静。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F6184">
        <w:rPr>
          <w:rFonts w:ascii="宋体" w:eastAsia="宋体" w:hAnsi="宋体" w:hint="eastAsia"/>
          <w:sz w:val="24"/>
          <w:szCs w:val="24"/>
        </w:rPr>
        <w:t>所</w:t>
      </w:r>
      <w:r w:rsidRPr="008F6184">
        <w:rPr>
          <w:rFonts w:ascii="宋体" w:eastAsia="宋体" w:hAnsi="宋体" w:hint="eastAsia"/>
          <w:sz w:val="24"/>
          <w:szCs w:val="24"/>
        </w:rPr>
        <w:t>做的工</w:t>
      </w:r>
      <w:r w:rsidRPr="008F6184">
        <w:rPr>
          <w:rFonts w:ascii="宋体" w:eastAsia="宋体" w:hAnsi="宋体" w:hint="eastAsia"/>
          <w:sz w:val="24"/>
          <w:szCs w:val="24"/>
        </w:rPr>
        <w:t>作：</w:t>
      </w:r>
      <w:proofErr w:type="gramStart"/>
      <w:r w:rsidRPr="008F6184">
        <w:rPr>
          <w:rFonts w:ascii="宋体" w:eastAsia="宋体" w:hAnsi="宋体" w:hint="eastAsia"/>
          <w:sz w:val="24"/>
          <w:szCs w:val="24"/>
        </w:rPr>
        <w:t>赵君楠</w:t>
      </w:r>
      <w:r w:rsidRPr="008F6184">
        <w:rPr>
          <w:rFonts w:ascii="宋体" w:eastAsia="宋体" w:hAnsi="宋体" w:hint="eastAsia"/>
          <w:sz w:val="24"/>
          <w:szCs w:val="24"/>
        </w:rPr>
        <w:t>任</w:t>
      </w:r>
      <w:proofErr w:type="gramEnd"/>
      <w:r w:rsidRPr="008F6184">
        <w:rPr>
          <w:rFonts w:ascii="宋体" w:eastAsia="宋体" w:hAnsi="宋体" w:hint="eastAsia"/>
          <w:sz w:val="24"/>
          <w:szCs w:val="24"/>
        </w:rPr>
        <w:t>起草工作组组长，全面负责标准起草工作协调、重大问题解决等。</w:t>
      </w:r>
      <w:r w:rsidRPr="008F6184">
        <w:rPr>
          <w:rFonts w:ascii="宋体" w:eastAsia="宋体" w:hAnsi="宋体" w:hint="eastAsia"/>
          <w:sz w:val="24"/>
          <w:szCs w:val="24"/>
        </w:rPr>
        <w:t>唐娜</w:t>
      </w:r>
      <w:r w:rsidRPr="008F6184">
        <w:rPr>
          <w:rFonts w:ascii="宋体" w:eastAsia="宋体" w:hAnsi="宋体" w:hint="eastAsia"/>
          <w:sz w:val="24"/>
          <w:szCs w:val="24"/>
        </w:rPr>
        <w:t>、徐俊辉</w:t>
      </w:r>
      <w:r w:rsidRPr="008F6184">
        <w:rPr>
          <w:rFonts w:ascii="宋体" w:eastAsia="宋体" w:hAnsi="宋体" w:hint="eastAsia"/>
          <w:sz w:val="24"/>
          <w:szCs w:val="24"/>
        </w:rPr>
        <w:t>、赵丽娜、何劲、雷文杰</w:t>
      </w:r>
      <w:r w:rsidR="008F6184">
        <w:rPr>
          <w:rFonts w:ascii="宋体" w:eastAsia="宋体" w:hAnsi="宋体" w:hint="eastAsia"/>
          <w:sz w:val="24"/>
          <w:szCs w:val="24"/>
        </w:rPr>
        <w:t>、</w:t>
      </w:r>
      <w:r w:rsidR="008F6184" w:rsidRPr="008F6184">
        <w:rPr>
          <w:rFonts w:ascii="宋体" w:eastAsia="宋体" w:hAnsi="宋体" w:hint="eastAsia"/>
          <w:sz w:val="24"/>
          <w:szCs w:val="24"/>
        </w:rPr>
        <w:t>朱磊</w:t>
      </w:r>
      <w:r w:rsidRPr="008F6184">
        <w:rPr>
          <w:rFonts w:ascii="宋体" w:eastAsia="宋体" w:hAnsi="宋体" w:hint="eastAsia"/>
          <w:sz w:val="24"/>
          <w:szCs w:val="24"/>
        </w:rPr>
        <w:t>负责市场调研、产品信息收集、标准内容起草等工作，</w:t>
      </w:r>
      <w:r w:rsidRPr="008F6184">
        <w:rPr>
          <w:rFonts w:ascii="宋体" w:eastAsia="宋体" w:hAnsi="宋体" w:hint="eastAsia"/>
          <w:sz w:val="24"/>
          <w:szCs w:val="24"/>
        </w:rPr>
        <w:t>李娜、王小瑀、车丽</w:t>
      </w:r>
      <w:r w:rsidRPr="008F6184">
        <w:rPr>
          <w:rFonts w:ascii="宋体" w:eastAsia="宋体" w:hAnsi="宋体" w:hint="eastAsia"/>
          <w:sz w:val="24"/>
          <w:szCs w:val="24"/>
        </w:rPr>
        <w:t>负责试验验证</w:t>
      </w:r>
      <w:r w:rsidRPr="008F6184">
        <w:rPr>
          <w:rFonts w:ascii="宋体" w:eastAsia="宋体" w:hAnsi="宋体" w:hint="eastAsia"/>
          <w:sz w:val="24"/>
          <w:szCs w:val="24"/>
        </w:rPr>
        <w:t>、</w:t>
      </w:r>
      <w:r w:rsidRPr="008F6184">
        <w:rPr>
          <w:rFonts w:ascii="宋体" w:eastAsia="宋体" w:hAnsi="宋体" w:hint="eastAsia"/>
          <w:sz w:val="24"/>
          <w:szCs w:val="24"/>
        </w:rPr>
        <w:t>标准内容起草等工作，</w:t>
      </w:r>
      <w:r w:rsidRPr="008F6184">
        <w:rPr>
          <w:rFonts w:ascii="宋体" w:eastAsia="宋体" w:hAnsi="宋体" w:hint="eastAsia"/>
          <w:sz w:val="24"/>
          <w:szCs w:val="24"/>
        </w:rPr>
        <w:t>张建平</w:t>
      </w:r>
      <w:r w:rsidRPr="008F6184">
        <w:rPr>
          <w:rFonts w:ascii="宋体" w:eastAsia="宋体" w:hAnsi="宋体" w:hint="eastAsia"/>
          <w:sz w:val="24"/>
          <w:szCs w:val="24"/>
        </w:rPr>
        <w:t>、</w:t>
      </w:r>
      <w:r w:rsidRPr="008F6184">
        <w:rPr>
          <w:rFonts w:ascii="宋体" w:eastAsia="宋体" w:hAnsi="宋体" w:hint="eastAsia"/>
          <w:sz w:val="24"/>
          <w:szCs w:val="24"/>
        </w:rPr>
        <w:t>胡静</w:t>
      </w:r>
      <w:r w:rsidRPr="008F6184">
        <w:rPr>
          <w:rFonts w:ascii="宋体" w:eastAsia="宋体" w:hAnsi="宋体" w:hint="eastAsia"/>
          <w:sz w:val="24"/>
          <w:szCs w:val="24"/>
        </w:rPr>
        <w:t>负责国内外文献查阅、标准</w:t>
      </w:r>
      <w:r>
        <w:rPr>
          <w:rFonts w:ascii="宋体" w:eastAsia="宋体" w:hAnsi="宋体" w:hint="eastAsia"/>
          <w:sz w:val="24"/>
          <w:szCs w:val="24"/>
        </w:rPr>
        <w:t>编制及事务性联系等工作。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二、标准编制原则和主要内容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（一）标准编制原则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本标准是按照</w:t>
      </w:r>
      <w:r>
        <w:rPr>
          <w:rFonts w:ascii="宋体" w:eastAsia="宋体" w:hAnsi="宋体"/>
          <w:sz w:val="24"/>
          <w:szCs w:val="24"/>
        </w:rPr>
        <w:t>GB/T 1.1-2020</w:t>
      </w:r>
      <w:r>
        <w:rPr>
          <w:rFonts w:ascii="宋体" w:eastAsia="宋体" w:hAnsi="宋体"/>
          <w:sz w:val="24"/>
          <w:szCs w:val="24"/>
        </w:rPr>
        <w:t>《标准化工作导则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第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部分：标准化文件的结构和起草规则》给出的规则起草。</w:t>
      </w:r>
      <w:r>
        <w:rPr>
          <w:rFonts w:ascii="宋体" w:eastAsia="宋体" w:hAnsi="宋体" w:hint="eastAsia"/>
          <w:sz w:val="24"/>
          <w:szCs w:val="24"/>
        </w:rPr>
        <w:t>符合盐业企业发展的原则，有利于促进技术进步；有利于提高产品质量；遵循科学性、先进性、统一性的</w:t>
      </w:r>
      <w:r>
        <w:rPr>
          <w:rFonts w:ascii="宋体" w:eastAsia="宋体" w:hAnsi="宋体" w:hint="eastAsia"/>
          <w:sz w:val="24"/>
          <w:szCs w:val="24"/>
        </w:rPr>
        <w:t>原则。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（二）标准制订的主要技术内容说明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本标准依据食用盐与卤水高盐基质特性构建</w:t>
      </w:r>
      <w:r>
        <w:rPr>
          <w:rFonts w:ascii="宋体" w:eastAsia="宋体" w:hAnsi="宋体" w:hint="eastAsia"/>
          <w:sz w:val="24"/>
          <w:szCs w:val="24"/>
        </w:rPr>
        <w:t>丙烯酰胺</w:t>
      </w:r>
      <w:r>
        <w:rPr>
          <w:rFonts w:ascii="宋体" w:eastAsia="宋体" w:hAnsi="宋体" w:cs="宋体"/>
          <w:sz w:val="24"/>
          <w:szCs w:val="24"/>
        </w:rPr>
        <w:t>完整测定流程，增设样品前处理步骤，以此消除高盐基质对检测过程产生的基质干扰，削弱盐分对组分分离及定量检测的干扰。该方法采用间接定量策略</w:t>
      </w:r>
      <w:r>
        <w:rPr>
          <w:rFonts w:ascii="宋体" w:eastAsia="宋体" w:hAnsi="宋体" w:cs="宋体" w:hint="eastAsia"/>
          <w:sz w:val="24"/>
          <w:szCs w:val="24"/>
        </w:rPr>
        <w:t>检测</w:t>
      </w:r>
      <w:r>
        <w:rPr>
          <w:rFonts w:ascii="宋体" w:eastAsia="宋体" w:hAnsi="宋体" w:hint="eastAsia"/>
          <w:sz w:val="24"/>
          <w:szCs w:val="24"/>
        </w:rPr>
        <w:t>丙烯酰胺</w:t>
      </w:r>
      <w:r>
        <w:rPr>
          <w:rFonts w:ascii="宋体" w:eastAsia="宋体" w:hAnsi="宋体" w:cs="宋体"/>
          <w:sz w:val="24"/>
          <w:szCs w:val="24"/>
        </w:rPr>
        <w:t>含量，避免高盐原液直接进样分析，可显著缓解盐类结晶析出、管路腐蚀、盐分沉积等问题对</w:t>
      </w:r>
      <w:r>
        <w:rPr>
          <w:rFonts w:ascii="宋体" w:eastAsia="宋体" w:hAnsi="宋体" w:cs="宋体" w:hint="eastAsia"/>
          <w:sz w:val="24"/>
          <w:szCs w:val="24"/>
        </w:rPr>
        <w:t>气相色谱质谱联用仪</w:t>
      </w:r>
      <w:r>
        <w:rPr>
          <w:rFonts w:ascii="宋体" w:eastAsia="宋体" w:hAnsi="宋体" w:cs="宋体"/>
          <w:sz w:val="24"/>
          <w:szCs w:val="24"/>
        </w:rPr>
        <w:t>核心部件的损伤，降低仪器损耗与后期维护成本。整套检测流程经系统方法学验证，能够稳定实现样品准确定量，有效提升检测数据的准确度与重复性，检测结果具备良好科学性与可靠性，可满足食用盐、卤水产品日常检验及监督抽检的技术判定要求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（三）解决的主要问题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GB 5009.204-2014</w:t>
      </w:r>
      <w:r>
        <w:rPr>
          <w:rFonts w:ascii="宋体" w:eastAsia="宋体" w:hAnsi="宋体" w:hint="eastAsia"/>
          <w:sz w:val="24"/>
          <w:szCs w:val="24"/>
        </w:rPr>
        <w:t>《食品安全国家标准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食品中丙烯酰胺的测定》仅适用于热加工（如煎、炙烤、焙烤等）食品中丙烯酰胺的测定，对食盐样品及卤水没有</w:t>
      </w:r>
      <w:r>
        <w:rPr>
          <w:rFonts w:ascii="宋体" w:eastAsia="宋体" w:hAnsi="宋体" w:hint="eastAsia"/>
          <w:sz w:val="24"/>
          <w:szCs w:val="24"/>
        </w:rPr>
        <w:lastRenderedPageBreak/>
        <w:t>做出特别规定。因为盐基质复杂，高盐分干扰检测，比如在液相中堵塞色谱柱，或者影响质谱峰信号。这时候需要优化前处理步骤</w:t>
      </w:r>
      <w:r>
        <w:rPr>
          <w:rFonts w:ascii="宋体" w:eastAsia="宋体" w:hAnsi="宋体" w:hint="eastAsia"/>
          <w:sz w:val="24"/>
          <w:szCs w:val="24"/>
        </w:rPr>
        <w:t>，比如稀释、净化，或者用特定的萃取方法。由此可见，盐产品和卤水中丙烯酰胺含量的检测难度较高，需要进行针对性研究，该项目正式对该检测方法的补充。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GB 5009.204-2014</w:t>
      </w:r>
      <w:r>
        <w:rPr>
          <w:rFonts w:ascii="宋体" w:eastAsia="宋体" w:hAnsi="宋体" w:hint="eastAsia"/>
          <w:sz w:val="24"/>
          <w:szCs w:val="24"/>
        </w:rPr>
        <w:t>使用设备为液相色谱</w:t>
      </w:r>
      <w:r>
        <w:rPr>
          <w:rFonts w:ascii="宋体" w:eastAsia="宋体" w:hAnsi="宋体" w:hint="eastAsia"/>
          <w:sz w:val="24"/>
          <w:szCs w:val="24"/>
        </w:rPr>
        <w:t>-</w:t>
      </w:r>
      <w:r>
        <w:rPr>
          <w:rFonts w:ascii="宋体" w:eastAsia="宋体" w:hAnsi="宋体" w:hint="eastAsia"/>
          <w:sz w:val="24"/>
          <w:szCs w:val="24"/>
        </w:rPr>
        <w:t>质谱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质谱联用仪和气相色谱</w:t>
      </w:r>
      <w:r>
        <w:rPr>
          <w:rFonts w:ascii="宋体" w:eastAsia="宋体" w:hAnsi="宋体" w:hint="eastAsia"/>
          <w:sz w:val="24"/>
          <w:szCs w:val="24"/>
        </w:rPr>
        <w:t>-</w:t>
      </w:r>
      <w:r>
        <w:rPr>
          <w:rFonts w:ascii="宋体" w:eastAsia="宋体" w:hAnsi="宋体" w:hint="eastAsia"/>
          <w:sz w:val="24"/>
          <w:szCs w:val="24"/>
        </w:rPr>
        <w:t>质谱仪，两种设备造价较高，给盐行业生产企业较大经济压力。本项目丙烯酰胺的检测用到液相色谱仪</w:t>
      </w:r>
      <w:r>
        <w:rPr>
          <w:rFonts w:ascii="宋体" w:eastAsia="宋体" w:hAnsi="宋体" w:hint="eastAsia"/>
          <w:sz w:val="24"/>
          <w:szCs w:val="24"/>
        </w:rPr>
        <w:t>-</w:t>
      </w:r>
      <w:r>
        <w:rPr>
          <w:rFonts w:ascii="宋体" w:eastAsia="宋体" w:hAnsi="宋体" w:hint="eastAsia"/>
          <w:sz w:val="24"/>
          <w:szCs w:val="24"/>
        </w:rPr>
        <w:t>二极管阵列检测器，造价低，生产厂商多，可选择性多。在盐行业更具有普适性。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本项目适用于盐产品及卤水中丙烯酰胺的测定。主要描述了盐产品及卤水中丙烯酰胺检验的原理、试剂或材料、仪器设备、分析步骤、结果计算和精密度。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三、主要试验（或验证）情况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 xml:space="preserve">1 </w:t>
      </w:r>
      <w:r>
        <w:rPr>
          <w:rFonts w:ascii="宋体" w:eastAsia="宋体" w:hAnsi="宋体" w:hint="eastAsia"/>
          <w:sz w:val="24"/>
          <w:szCs w:val="24"/>
        </w:rPr>
        <w:t>波长</w:t>
      </w:r>
    </w:p>
    <w:p w:rsidR="006C4C75" w:rsidRDefault="00526F34">
      <w:pPr>
        <w:pStyle w:val="a3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配制标准溶液并进行全波长扫描，确定最佳吸收波长。如图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可知最佳波长为</w:t>
      </w:r>
      <w:r>
        <w:rPr>
          <w:rFonts w:ascii="宋体" w:eastAsia="宋体" w:hAnsi="宋体" w:hint="eastAsia"/>
          <w:sz w:val="24"/>
          <w:szCs w:val="24"/>
        </w:rPr>
        <w:t>190nm</w:t>
      </w:r>
      <w:r>
        <w:rPr>
          <w:rFonts w:ascii="Times New Roman" w:eastAsia="宋体" w:hAnsi="Times New Roman" w:cs="Times New Roman"/>
          <w:sz w:val="24"/>
          <w:szCs w:val="24"/>
        </w:rPr>
        <w:t>~</w:t>
      </w:r>
      <w:r>
        <w:rPr>
          <w:rFonts w:ascii="宋体" w:eastAsia="宋体" w:hAnsi="宋体" w:hint="eastAsia"/>
          <w:sz w:val="24"/>
          <w:szCs w:val="24"/>
        </w:rPr>
        <w:t>205nm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6C4C75" w:rsidRDefault="00526F34">
      <w:pPr>
        <w:pStyle w:val="a3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3392170" cy="1797050"/>
            <wp:effectExtent l="0" t="0" r="8255" b="3175"/>
            <wp:docPr id="2" name="图片 2" descr="xishouboch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xishoubocha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92170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C75" w:rsidRDefault="00526F34">
      <w:pPr>
        <w:pStyle w:val="a3"/>
        <w:ind w:firstLine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</w:t>
      </w:r>
      <w:r>
        <w:rPr>
          <w:rFonts w:ascii="宋体" w:eastAsia="宋体" w:hAnsi="宋体" w:hint="eastAsia"/>
          <w:sz w:val="24"/>
          <w:szCs w:val="24"/>
        </w:rPr>
        <w:t xml:space="preserve">1 </w:t>
      </w:r>
      <w:r>
        <w:rPr>
          <w:rFonts w:ascii="宋体" w:eastAsia="宋体" w:hAnsi="宋体" w:hint="eastAsia"/>
          <w:sz w:val="24"/>
          <w:szCs w:val="24"/>
        </w:rPr>
        <w:t>全波长扫描图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3.2 </w:t>
      </w:r>
      <w:r>
        <w:rPr>
          <w:rFonts w:ascii="宋体" w:eastAsia="宋体" w:hAnsi="宋体" w:hint="eastAsia"/>
          <w:sz w:val="24"/>
          <w:szCs w:val="24"/>
        </w:rPr>
        <w:t>检出限、定量限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根据</w:t>
      </w:r>
      <w:r>
        <w:rPr>
          <w:rFonts w:ascii="宋体" w:eastAsia="宋体" w:hAnsi="宋体" w:hint="eastAsia"/>
          <w:sz w:val="24"/>
          <w:szCs w:val="24"/>
        </w:rPr>
        <w:t>GB/T 27417-2017</w:t>
      </w:r>
      <w:r>
        <w:rPr>
          <w:rFonts w:ascii="宋体" w:eastAsia="宋体" w:hAnsi="宋体" w:hint="eastAsia"/>
          <w:sz w:val="24"/>
          <w:szCs w:val="24"/>
        </w:rPr>
        <w:t>《化学分析方法确认和验证指南》，本标准采用</w:t>
      </w:r>
      <w:r>
        <w:rPr>
          <w:rFonts w:ascii="宋体" w:eastAsia="宋体" w:hAnsi="宋体" w:hint="eastAsia"/>
          <w:sz w:val="24"/>
          <w:szCs w:val="24"/>
        </w:rPr>
        <w:t>信噪比</w:t>
      </w:r>
      <w:r>
        <w:rPr>
          <w:rFonts w:ascii="宋体" w:eastAsia="宋体" w:hAnsi="宋体" w:hint="eastAsia"/>
          <w:sz w:val="24"/>
          <w:szCs w:val="24"/>
        </w:rPr>
        <w:t>评估检出限。利用已知低浓度的分析物样品与空白样品的测量信号进行比较，确定能够</w:t>
      </w:r>
      <w:r>
        <w:rPr>
          <w:rFonts w:ascii="宋体" w:eastAsia="宋体" w:hAnsi="宋体" w:hint="eastAsia"/>
          <w:sz w:val="24"/>
          <w:szCs w:val="24"/>
        </w:rPr>
        <w:t>可靠检出的最小浓度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典型的可接受的信噪比</w:t>
      </w:r>
      <w:r>
        <w:rPr>
          <w:rFonts w:ascii="宋体" w:eastAsia="宋体" w:hAnsi="宋体" w:hint="eastAsia"/>
          <w:sz w:val="24"/>
          <w:szCs w:val="24"/>
        </w:rPr>
        <w:t>是</w:t>
      </w:r>
      <w:r>
        <w:rPr>
          <w:rFonts w:ascii="宋体" w:eastAsia="宋体" w:hAnsi="宋体" w:hint="eastAsia"/>
          <w:sz w:val="24"/>
          <w:szCs w:val="24"/>
        </w:rPr>
        <w:t>3:1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如图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所示为丙烯酰胺浓度</w:t>
      </w:r>
      <w:r>
        <w:rPr>
          <w:rFonts w:ascii="宋体" w:eastAsia="宋体" w:hAnsi="宋体" w:hint="eastAsia"/>
          <w:sz w:val="24"/>
          <w:szCs w:val="24"/>
        </w:rPr>
        <w:t>0.01m</w:t>
      </w:r>
      <w:r>
        <w:rPr>
          <w:rFonts w:ascii="宋体" w:eastAsia="宋体" w:hAnsi="宋体" w:hint="eastAsia"/>
          <w:sz w:val="24"/>
          <w:szCs w:val="24"/>
        </w:rPr>
        <w:t>g/L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 w:hint="eastAsia"/>
          <w:sz w:val="24"/>
          <w:szCs w:val="24"/>
        </w:rPr>
        <w:t>色谱图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可见信噪比为</w:t>
      </w:r>
      <w:r>
        <w:rPr>
          <w:rFonts w:ascii="宋体" w:eastAsia="宋体" w:hAnsi="宋体" w:hint="eastAsia"/>
          <w:sz w:val="24"/>
          <w:szCs w:val="24"/>
        </w:rPr>
        <w:t>3.4</w:t>
      </w:r>
      <w:r>
        <w:rPr>
          <w:rFonts w:ascii="宋体" w:eastAsia="宋体" w:hAnsi="宋体" w:hint="eastAsia"/>
          <w:sz w:val="24"/>
          <w:szCs w:val="24"/>
        </w:rPr>
        <w:t>，满足</w:t>
      </w:r>
      <w:r>
        <w:rPr>
          <w:rFonts w:ascii="宋体" w:eastAsia="宋体" w:hAnsi="宋体" w:hint="eastAsia"/>
          <w:sz w:val="24"/>
          <w:szCs w:val="24"/>
        </w:rPr>
        <w:t>GB/T 27417</w:t>
      </w:r>
      <w:r>
        <w:rPr>
          <w:rFonts w:ascii="宋体" w:eastAsia="宋体" w:hAnsi="宋体" w:hint="eastAsia"/>
          <w:sz w:val="24"/>
          <w:szCs w:val="24"/>
        </w:rPr>
        <w:t>要求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此定量限为</w:t>
      </w:r>
      <w:r>
        <w:rPr>
          <w:rFonts w:ascii="宋体" w:eastAsia="宋体" w:hAnsi="宋体" w:hint="eastAsia"/>
          <w:sz w:val="24"/>
          <w:szCs w:val="24"/>
        </w:rPr>
        <w:t>0.03m</w:t>
      </w:r>
      <w:r>
        <w:rPr>
          <w:rFonts w:ascii="宋体" w:eastAsia="宋体" w:hAnsi="宋体" w:hint="eastAsia"/>
          <w:sz w:val="24"/>
          <w:szCs w:val="24"/>
        </w:rPr>
        <w:t>g/L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样品检测</w:t>
      </w:r>
      <w:r>
        <w:rPr>
          <w:rFonts w:ascii="宋体" w:eastAsia="宋体" w:hAnsi="宋体" w:hint="eastAsia"/>
          <w:sz w:val="24"/>
          <w:szCs w:val="24"/>
        </w:rPr>
        <w:t>过程为称取</w:t>
      </w:r>
      <w:r>
        <w:rPr>
          <w:rFonts w:ascii="宋体" w:eastAsia="宋体" w:hAnsi="宋体" w:hint="eastAsia"/>
          <w:sz w:val="24"/>
          <w:szCs w:val="24"/>
        </w:rPr>
        <w:t>2g</w:t>
      </w:r>
      <w:r>
        <w:rPr>
          <w:rFonts w:ascii="宋体" w:eastAsia="宋体" w:hAnsi="宋体" w:hint="eastAsia"/>
          <w:sz w:val="24"/>
          <w:szCs w:val="24"/>
        </w:rPr>
        <w:t>或体积</w:t>
      </w:r>
      <w:r>
        <w:rPr>
          <w:rFonts w:ascii="宋体" w:eastAsia="宋体" w:hAnsi="宋体" w:hint="eastAsia"/>
          <w:sz w:val="24"/>
          <w:szCs w:val="24"/>
        </w:rPr>
        <w:t>2mL</w:t>
      </w:r>
      <w:r>
        <w:rPr>
          <w:rFonts w:ascii="宋体" w:eastAsia="宋体" w:hAnsi="宋体" w:hint="eastAsia"/>
          <w:sz w:val="24"/>
          <w:szCs w:val="24"/>
        </w:rPr>
        <w:t>卤水样品，</w:t>
      </w:r>
      <w:proofErr w:type="gramStart"/>
      <w:r>
        <w:rPr>
          <w:rFonts w:ascii="宋体" w:eastAsia="宋体" w:hAnsi="宋体" w:hint="eastAsia"/>
          <w:sz w:val="24"/>
          <w:szCs w:val="24"/>
        </w:rPr>
        <w:t>定容至</w:t>
      </w:r>
      <w:proofErr w:type="gramEnd"/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mL</w:t>
      </w:r>
      <w:r>
        <w:rPr>
          <w:rFonts w:ascii="宋体" w:eastAsia="宋体" w:hAnsi="宋体" w:hint="eastAsia"/>
          <w:sz w:val="24"/>
          <w:szCs w:val="24"/>
        </w:rPr>
        <w:t>容量瓶</w:t>
      </w:r>
      <w:r>
        <w:rPr>
          <w:rFonts w:ascii="宋体" w:eastAsia="宋体" w:hAnsi="宋体" w:hint="eastAsia"/>
          <w:sz w:val="24"/>
          <w:szCs w:val="24"/>
        </w:rPr>
        <w:t>中，所以方法</w:t>
      </w:r>
      <w:r>
        <w:rPr>
          <w:rFonts w:ascii="宋体" w:eastAsia="宋体" w:hAnsi="宋体" w:hint="eastAsia"/>
          <w:sz w:val="24"/>
          <w:szCs w:val="24"/>
        </w:rPr>
        <w:t>定量限</w:t>
      </w:r>
      <w:r>
        <w:rPr>
          <w:rFonts w:ascii="宋体" w:eastAsia="宋体" w:hAnsi="宋体" w:hint="eastAsia"/>
          <w:sz w:val="24"/>
          <w:szCs w:val="24"/>
        </w:rPr>
        <w:t>为</w:t>
      </w:r>
      <w:r>
        <w:rPr>
          <w:rFonts w:ascii="宋体" w:eastAsia="宋体" w:hAnsi="宋体" w:hint="eastAsia"/>
          <w:sz w:val="24"/>
          <w:szCs w:val="24"/>
        </w:rPr>
        <w:t>0.3m</w:t>
      </w:r>
      <w:r>
        <w:rPr>
          <w:rFonts w:ascii="宋体" w:eastAsia="宋体" w:hAnsi="宋体" w:hint="eastAsia"/>
          <w:sz w:val="24"/>
          <w:szCs w:val="24"/>
        </w:rPr>
        <w:t>g/kg</w:t>
      </w:r>
      <w:r>
        <w:rPr>
          <w:rFonts w:ascii="宋体" w:eastAsia="宋体" w:hAnsi="宋体" w:hint="eastAsia"/>
          <w:sz w:val="24"/>
          <w:szCs w:val="24"/>
        </w:rPr>
        <w:t>或</w:t>
      </w:r>
      <w:r>
        <w:rPr>
          <w:rFonts w:ascii="宋体" w:eastAsia="宋体" w:hAnsi="宋体" w:hint="eastAsia"/>
          <w:sz w:val="24"/>
          <w:szCs w:val="24"/>
        </w:rPr>
        <w:t>0.3m</w:t>
      </w:r>
      <w:r>
        <w:rPr>
          <w:rFonts w:ascii="宋体" w:eastAsia="宋体" w:hAnsi="宋体" w:hint="eastAsia"/>
          <w:sz w:val="24"/>
          <w:szCs w:val="24"/>
        </w:rPr>
        <w:t>g/L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6C4C75" w:rsidRDefault="00526F34">
      <w:pPr>
        <w:pStyle w:val="a3"/>
        <w:jc w:val="center"/>
        <w:rPr>
          <w:rFonts w:eastAsia="宋体"/>
        </w:rPr>
      </w:pPr>
      <w:r>
        <w:rPr>
          <w:rFonts w:eastAsia="宋体" w:hint="eastAsia"/>
          <w:noProof/>
        </w:rPr>
        <w:lastRenderedPageBreak/>
        <w:drawing>
          <wp:inline distT="0" distB="0" distL="114300" distR="114300">
            <wp:extent cx="3848735" cy="2027555"/>
            <wp:effectExtent l="0" t="0" r="8890" b="1270"/>
            <wp:docPr id="1" name="图片 1" descr="s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n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735" cy="202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C75" w:rsidRDefault="00526F34">
      <w:pPr>
        <w:pStyle w:val="a3"/>
        <w:ind w:firstLine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</w:t>
      </w:r>
      <w:r>
        <w:rPr>
          <w:rFonts w:ascii="宋体" w:eastAsia="宋体" w:hAnsi="宋体" w:hint="eastAsia"/>
          <w:sz w:val="24"/>
          <w:szCs w:val="24"/>
        </w:rPr>
        <w:t>2  0.01mg/L</w:t>
      </w:r>
      <w:r>
        <w:rPr>
          <w:rFonts w:ascii="宋体" w:eastAsia="宋体" w:hAnsi="宋体" w:hint="eastAsia"/>
          <w:sz w:val="24"/>
          <w:szCs w:val="24"/>
        </w:rPr>
        <w:t>的丙烯酰胺色谱图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标准曲线</w:t>
      </w:r>
      <w:r>
        <w:rPr>
          <w:rFonts w:ascii="宋体" w:eastAsia="宋体" w:hAnsi="宋体" w:hint="eastAsia"/>
          <w:sz w:val="24"/>
          <w:szCs w:val="24"/>
        </w:rPr>
        <w:t>及线性范围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标准起草工作组</w:t>
      </w:r>
      <w:r>
        <w:rPr>
          <w:rFonts w:ascii="宋体" w:eastAsia="宋体" w:hAnsi="宋体" w:hint="eastAsia"/>
          <w:sz w:val="24"/>
          <w:szCs w:val="24"/>
        </w:rPr>
        <w:t>选取了</w:t>
      </w:r>
      <w:r>
        <w:rPr>
          <w:rFonts w:ascii="宋体" w:eastAsia="宋体" w:hAnsi="宋体" w:hint="eastAsia"/>
          <w:sz w:val="24"/>
          <w:szCs w:val="24"/>
        </w:rPr>
        <w:t>0.025mg/L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0.05mg/L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0.1mg/L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0.25mg/L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0.5mg/L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1mg/L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2mg/L</w:t>
      </w:r>
      <w:r>
        <w:rPr>
          <w:rFonts w:ascii="宋体" w:eastAsia="宋体" w:hAnsi="宋体" w:hint="eastAsia"/>
          <w:sz w:val="24"/>
          <w:szCs w:val="24"/>
        </w:rPr>
        <w:t>标准曲线点，</w:t>
      </w:r>
      <w:r>
        <w:rPr>
          <w:rFonts w:ascii="宋体" w:eastAsia="宋体" w:hAnsi="宋体" w:hint="eastAsia"/>
          <w:sz w:val="24"/>
          <w:szCs w:val="24"/>
        </w:rPr>
        <w:t>连续四天进行标准曲线测定。根据表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可见，</w:t>
      </w:r>
      <w:r>
        <w:rPr>
          <w:rFonts w:ascii="宋体" w:eastAsia="宋体" w:hAnsi="宋体" w:hint="eastAsia"/>
          <w:sz w:val="24"/>
          <w:szCs w:val="24"/>
        </w:rPr>
        <w:t>曲线线性良好，</w:t>
      </w:r>
      <w:r>
        <w:rPr>
          <w:rFonts w:ascii="宋体" w:eastAsia="宋体" w:hAnsi="宋体" w:hint="eastAsia"/>
          <w:sz w:val="24"/>
          <w:szCs w:val="24"/>
        </w:rPr>
        <w:t>满足</w:t>
      </w:r>
      <w:r>
        <w:rPr>
          <w:rFonts w:ascii="宋体" w:eastAsia="宋体" w:hAnsi="宋体" w:hint="eastAsia"/>
          <w:sz w:val="24"/>
          <w:szCs w:val="24"/>
        </w:rPr>
        <w:t>GB/T 27417-2017</w:t>
      </w:r>
      <w:r>
        <w:rPr>
          <w:rFonts w:ascii="宋体" w:eastAsia="宋体" w:hAnsi="宋体" w:hint="eastAsia"/>
          <w:sz w:val="24"/>
          <w:szCs w:val="24"/>
        </w:rPr>
        <w:t>要求。</w:t>
      </w:r>
      <w:r>
        <w:rPr>
          <w:rFonts w:ascii="宋体" w:eastAsia="宋体" w:hAnsi="宋体" w:hint="eastAsia"/>
          <w:sz w:val="24"/>
          <w:szCs w:val="24"/>
        </w:rPr>
        <w:t>同时综合考虑</w:t>
      </w:r>
      <w:r>
        <w:rPr>
          <w:rFonts w:ascii="宋体" w:eastAsia="宋体" w:hAnsi="宋体" w:hint="eastAsia"/>
          <w:sz w:val="24"/>
          <w:szCs w:val="24"/>
        </w:rPr>
        <w:t>GB/T 27417-2017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GB/T 27404-2026</w:t>
      </w:r>
      <w:r>
        <w:rPr>
          <w:rFonts w:ascii="宋体" w:eastAsia="宋体" w:hAnsi="宋体" w:hint="eastAsia"/>
          <w:sz w:val="24"/>
          <w:szCs w:val="24"/>
        </w:rPr>
        <w:t>要求标准曲线至少具有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个校准点（包含空白）和所检样品中含量均较低，工作组选用前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个校准点，线性关系和</w:t>
      </w:r>
      <w:r>
        <w:rPr>
          <w:rFonts w:ascii="宋体" w:eastAsia="宋体" w:hAnsi="宋体" w:hint="eastAsia"/>
          <w:sz w:val="24"/>
          <w:szCs w:val="24"/>
        </w:rPr>
        <w:t>R</w:t>
      </w:r>
      <w:r>
        <w:rPr>
          <w:rFonts w:ascii="宋体" w:eastAsia="宋体" w:hAnsi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hint="eastAsia"/>
          <w:sz w:val="24"/>
          <w:szCs w:val="24"/>
        </w:rPr>
        <w:t>均可满足要求。</w:t>
      </w:r>
    </w:p>
    <w:p w:rsidR="006C4C75" w:rsidRDefault="00526F34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表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标准曲线数据</w:t>
      </w:r>
    </w:p>
    <w:tbl>
      <w:tblPr>
        <w:tblStyle w:val="a6"/>
        <w:tblW w:w="9166" w:type="dxa"/>
        <w:tblInd w:w="-262" w:type="dxa"/>
        <w:tblLayout w:type="fixed"/>
        <w:tblLook w:val="04A0" w:firstRow="1" w:lastRow="0" w:firstColumn="1" w:lastColumn="0" w:noHBand="0" w:noVBand="1"/>
      </w:tblPr>
      <w:tblGrid>
        <w:gridCol w:w="975"/>
        <w:gridCol w:w="645"/>
        <w:gridCol w:w="1078"/>
        <w:gridCol w:w="1078"/>
        <w:gridCol w:w="1078"/>
        <w:gridCol w:w="1078"/>
        <w:gridCol w:w="1078"/>
        <w:gridCol w:w="1078"/>
        <w:gridCol w:w="1078"/>
      </w:tblGrid>
      <w:tr w:rsidR="006C4C75"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浓度</w:t>
            </w:r>
            <w:r>
              <w:rPr>
                <w:rFonts w:ascii="宋体" w:eastAsia="宋体" w:hAnsi="宋体" w:hint="eastAsia"/>
                <w:szCs w:val="21"/>
              </w:rPr>
              <w:t>m</w:t>
            </w:r>
            <w:r>
              <w:rPr>
                <w:rFonts w:ascii="宋体" w:eastAsia="宋体" w:hAnsi="宋体" w:hint="eastAsia"/>
                <w:szCs w:val="21"/>
              </w:rPr>
              <w:t>g/L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107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0.025</w:t>
            </w:r>
          </w:p>
        </w:tc>
        <w:tc>
          <w:tcPr>
            <w:tcW w:w="107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0.05</w:t>
            </w:r>
          </w:p>
        </w:tc>
        <w:tc>
          <w:tcPr>
            <w:tcW w:w="107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0.1</w:t>
            </w:r>
          </w:p>
        </w:tc>
        <w:tc>
          <w:tcPr>
            <w:tcW w:w="107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0.25</w:t>
            </w:r>
          </w:p>
        </w:tc>
        <w:tc>
          <w:tcPr>
            <w:tcW w:w="107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0.5</w:t>
            </w:r>
          </w:p>
        </w:tc>
        <w:tc>
          <w:tcPr>
            <w:tcW w:w="107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107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4C75">
        <w:trPr>
          <w:trHeight w:val="493"/>
        </w:trPr>
        <w:tc>
          <w:tcPr>
            <w:tcW w:w="97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强度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3.32e+05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6.88e+05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1.41e+06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3.61e+06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7.17e+06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1.30e+07</w:t>
            </w:r>
          </w:p>
        </w:tc>
        <w:tc>
          <w:tcPr>
            <w:tcW w:w="1078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2.93e+07</w:t>
            </w:r>
          </w:p>
        </w:tc>
      </w:tr>
      <w:tr w:rsidR="006C4C75">
        <w:trPr>
          <w:trHeight w:val="393"/>
        </w:trPr>
        <w:tc>
          <w:tcPr>
            <w:tcW w:w="975" w:type="dxa"/>
            <w:vMerge w:val="restart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曲线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8191" w:type="dxa"/>
            <w:gridSpan w:val="8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 w:hint="eastAsia"/>
                <w:szCs w:val="21"/>
              </w:rPr>
              <w:t>个点：</w:t>
            </w:r>
            <w:r>
              <w:rPr>
                <w:rFonts w:ascii="宋体" w:eastAsia="宋体" w:hAnsi="宋体" w:hint="eastAsia"/>
                <w:szCs w:val="21"/>
              </w:rPr>
              <w:t>y = 1</w:t>
            </w:r>
            <w:r>
              <w:rPr>
                <w:rFonts w:ascii="宋体" w:eastAsia="宋体" w:hAnsi="宋体" w:hint="eastAsia"/>
                <w:szCs w:val="21"/>
              </w:rPr>
              <w:t>e</w:t>
            </w:r>
            <w:r>
              <w:rPr>
                <w:rFonts w:ascii="宋体" w:eastAsia="宋体" w:hAnsi="宋体" w:hint="eastAsia"/>
                <w:szCs w:val="21"/>
              </w:rPr>
              <w:t>+07x - 169797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R</w:t>
            </w:r>
            <w:r>
              <w:rPr>
                <w:rFonts w:ascii="等线" w:eastAsia="等线" w:hAnsi="等线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=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0.9969</w:t>
            </w:r>
          </w:p>
        </w:tc>
      </w:tr>
      <w:tr w:rsidR="006C4C75">
        <w:trPr>
          <w:trHeight w:val="393"/>
        </w:trPr>
        <w:tc>
          <w:tcPr>
            <w:tcW w:w="97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4C75" w:rsidRDefault="006C4C75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91" w:type="dxa"/>
            <w:gridSpan w:val="8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前</w:t>
            </w: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个点：</w:t>
            </w:r>
            <w:r>
              <w:rPr>
                <w:rFonts w:ascii="宋体" w:eastAsia="宋体" w:hAnsi="宋体" w:hint="eastAsia"/>
                <w:szCs w:val="21"/>
              </w:rPr>
              <w:t>y = 1e+07x - 25814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R</w:t>
            </w:r>
            <w:r>
              <w:rPr>
                <w:rFonts w:ascii="等线" w:eastAsia="等线" w:hAnsi="等线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=1</w:t>
            </w:r>
          </w:p>
        </w:tc>
      </w:tr>
      <w:tr w:rsidR="006C4C75">
        <w:tc>
          <w:tcPr>
            <w:tcW w:w="97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强度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3.00e+05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6.85e+05</w:t>
            </w:r>
          </w:p>
        </w:tc>
        <w:tc>
          <w:tcPr>
            <w:tcW w:w="1078" w:type="dxa"/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1.43e+06</w:t>
            </w:r>
          </w:p>
        </w:tc>
        <w:tc>
          <w:tcPr>
            <w:tcW w:w="1078" w:type="dxa"/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3.33e+06</w:t>
            </w:r>
          </w:p>
        </w:tc>
        <w:tc>
          <w:tcPr>
            <w:tcW w:w="1078" w:type="dxa"/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5.61e+06</w:t>
            </w:r>
          </w:p>
        </w:tc>
        <w:tc>
          <w:tcPr>
            <w:tcW w:w="1078" w:type="dxa"/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1.16e+07</w:t>
            </w:r>
          </w:p>
        </w:tc>
        <w:tc>
          <w:tcPr>
            <w:tcW w:w="1078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2.20e+07</w:t>
            </w:r>
          </w:p>
        </w:tc>
      </w:tr>
      <w:tr w:rsidR="006C4C75">
        <w:tc>
          <w:tcPr>
            <w:tcW w:w="975" w:type="dxa"/>
            <w:vMerge w:val="restart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曲线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8191" w:type="dxa"/>
            <w:gridSpan w:val="8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 w:hint="eastAsia"/>
                <w:szCs w:val="21"/>
              </w:rPr>
              <w:t>个点：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y = 1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e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+07x + 279605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R</w:t>
            </w:r>
            <w:r>
              <w:rPr>
                <w:rFonts w:ascii="等线" w:eastAsia="等线" w:hAnsi="等线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=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0.999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</w:tr>
      <w:tr w:rsidR="006C4C75">
        <w:tc>
          <w:tcPr>
            <w:tcW w:w="97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4C75" w:rsidRDefault="006C4C75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91" w:type="dxa"/>
            <w:gridSpan w:val="8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前</w:t>
            </w: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个点：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y = 1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e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+07x + 208288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R</w:t>
            </w:r>
            <w:r>
              <w:rPr>
                <w:rFonts w:ascii="等线" w:eastAsia="等线" w:hAnsi="等线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=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0.99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01</w:t>
            </w:r>
          </w:p>
        </w:tc>
      </w:tr>
      <w:tr w:rsidR="006C4C75">
        <w:tc>
          <w:tcPr>
            <w:tcW w:w="97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强度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3.42e+05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6.70e+05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1.31e+06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3.49e+06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6.84e+06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1.37e+07</w:t>
            </w:r>
          </w:p>
        </w:tc>
        <w:tc>
          <w:tcPr>
            <w:tcW w:w="1078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3.02e+07</w:t>
            </w:r>
          </w:p>
        </w:tc>
      </w:tr>
      <w:tr w:rsidR="006C4C75">
        <w:tc>
          <w:tcPr>
            <w:tcW w:w="975" w:type="dxa"/>
            <w:vMerge w:val="restart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曲线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8191" w:type="dxa"/>
            <w:gridSpan w:val="8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 w:hint="eastAsia"/>
                <w:szCs w:val="21"/>
              </w:rPr>
              <w:t>个点：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y = 1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e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+07x - 331118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R</w:t>
            </w:r>
            <w:r>
              <w:rPr>
                <w:rFonts w:ascii="等线" w:eastAsia="等线" w:hAnsi="等线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=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0.99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8</w:t>
            </w:r>
          </w:p>
        </w:tc>
      </w:tr>
      <w:tr w:rsidR="006C4C75">
        <w:tc>
          <w:tcPr>
            <w:tcW w:w="97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4C75" w:rsidRDefault="006C4C75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91" w:type="dxa"/>
            <w:gridSpan w:val="8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前</w:t>
            </w: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个点：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y = 1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e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+07x - 13238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R</w:t>
            </w:r>
            <w:r>
              <w:rPr>
                <w:rFonts w:ascii="等线" w:eastAsia="等线" w:hAnsi="等线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=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0.999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</w:p>
        </w:tc>
      </w:tr>
      <w:tr w:rsidR="006C4C75">
        <w:trPr>
          <w:trHeight w:val="473"/>
        </w:trPr>
        <w:tc>
          <w:tcPr>
            <w:tcW w:w="97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强度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3.61e+05</w:t>
            </w:r>
          </w:p>
        </w:tc>
        <w:tc>
          <w:tcPr>
            <w:tcW w:w="1078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6.71e+05</w:t>
            </w:r>
          </w:p>
        </w:tc>
        <w:tc>
          <w:tcPr>
            <w:tcW w:w="1078" w:type="dxa"/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1.37e+06</w:t>
            </w:r>
          </w:p>
        </w:tc>
        <w:tc>
          <w:tcPr>
            <w:tcW w:w="1078" w:type="dxa"/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3.41e+06</w:t>
            </w:r>
          </w:p>
        </w:tc>
        <w:tc>
          <w:tcPr>
            <w:tcW w:w="1078" w:type="dxa"/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6.86e+06</w:t>
            </w:r>
          </w:p>
        </w:tc>
        <w:tc>
          <w:tcPr>
            <w:tcW w:w="1078" w:type="dxa"/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1.37e+07</w:t>
            </w:r>
          </w:p>
        </w:tc>
        <w:tc>
          <w:tcPr>
            <w:tcW w:w="1078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3.08e+07</w:t>
            </w:r>
          </w:p>
        </w:tc>
      </w:tr>
      <w:tr w:rsidR="006C4C75">
        <w:tc>
          <w:tcPr>
            <w:tcW w:w="975" w:type="dxa"/>
            <w:vMerge w:val="restart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曲线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8191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 w:hint="eastAsia"/>
                <w:szCs w:val="21"/>
              </w:rPr>
              <w:t>个点：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y = 2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e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+07x - 392376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R</w:t>
            </w:r>
            <w:r>
              <w:rPr>
                <w:rFonts w:ascii="等线" w:eastAsia="等线" w:hAnsi="等线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=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0.99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68</w:t>
            </w:r>
          </w:p>
        </w:tc>
      </w:tr>
      <w:tr w:rsidR="006C4C75">
        <w:tc>
          <w:tcPr>
            <w:tcW w:w="97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4C75" w:rsidRDefault="006C4C75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91" w:type="dxa"/>
            <w:gridSpan w:val="8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前</w:t>
            </w: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个点：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y = 1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e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+07x - 797.17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R</w:t>
            </w:r>
            <w:r>
              <w:rPr>
                <w:rFonts w:ascii="等线" w:eastAsia="等线" w:hAnsi="等线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ascii="等线" w:eastAsia="等线" w:hAnsi="等线" w:hint="eastAsia"/>
                <w:color w:val="000000"/>
                <w:szCs w:val="21"/>
              </w:rPr>
              <w:t>=1</w:t>
            </w:r>
          </w:p>
        </w:tc>
      </w:tr>
    </w:tbl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3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精密度与正确度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本标准</w:t>
      </w:r>
      <w:r>
        <w:rPr>
          <w:rFonts w:ascii="宋体" w:eastAsia="宋体" w:hAnsi="宋体" w:hint="eastAsia"/>
          <w:sz w:val="24"/>
          <w:szCs w:val="24"/>
        </w:rPr>
        <w:t>通过</w:t>
      </w:r>
      <w:r>
        <w:rPr>
          <w:rFonts w:ascii="宋体" w:eastAsia="宋体" w:hAnsi="宋体" w:hint="eastAsia"/>
          <w:sz w:val="24"/>
          <w:szCs w:val="24"/>
        </w:rPr>
        <w:t>加标回收率试验</w:t>
      </w:r>
      <w:r>
        <w:rPr>
          <w:rFonts w:ascii="宋体" w:eastAsia="宋体" w:hAnsi="宋体" w:hint="eastAsia"/>
          <w:sz w:val="24"/>
          <w:szCs w:val="24"/>
        </w:rPr>
        <w:t>确认正确度。分别</w:t>
      </w:r>
      <w:r>
        <w:rPr>
          <w:rFonts w:ascii="宋体" w:eastAsia="宋体" w:hAnsi="宋体" w:hint="eastAsia"/>
          <w:sz w:val="24"/>
          <w:szCs w:val="24"/>
        </w:rPr>
        <w:t>加入标准物质浓度分别是</w:t>
      </w:r>
      <w:r>
        <w:rPr>
          <w:rFonts w:ascii="宋体" w:eastAsia="宋体" w:hAnsi="宋体" w:hint="eastAsia"/>
          <w:sz w:val="24"/>
          <w:szCs w:val="24"/>
        </w:rPr>
        <w:t>定量限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倍、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倍、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倍，检测结果见表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。回收率在</w:t>
      </w: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%</w:t>
      </w:r>
      <w:r>
        <w:rPr>
          <w:rFonts w:ascii="Times New Roman" w:eastAsia="宋体" w:hAnsi="Times New Roman" w:cs="Times New Roman"/>
          <w:sz w:val="24"/>
          <w:szCs w:val="24"/>
        </w:rPr>
        <w:t>~</w:t>
      </w:r>
      <w:r>
        <w:rPr>
          <w:rFonts w:ascii="宋体" w:eastAsia="宋体" w:hAnsi="宋体" w:hint="eastAsia"/>
          <w:sz w:val="24"/>
          <w:szCs w:val="24"/>
        </w:rPr>
        <w:t>102%</w:t>
      </w:r>
      <w:r>
        <w:rPr>
          <w:rFonts w:ascii="宋体" w:eastAsia="宋体" w:hAnsi="宋体" w:hint="eastAsia"/>
          <w:sz w:val="24"/>
          <w:szCs w:val="24"/>
        </w:rPr>
        <w:t>之间，</w:t>
      </w:r>
      <w:r>
        <w:rPr>
          <w:rFonts w:ascii="宋体" w:eastAsia="宋体" w:hAnsi="宋体" w:hint="eastAsia"/>
          <w:sz w:val="24"/>
          <w:szCs w:val="24"/>
        </w:rPr>
        <w:t>RSD</w:t>
      </w:r>
      <w:r>
        <w:rPr>
          <w:rFonts w:ascii="宋体" w:eastAsia="宋体" w:hAnsi="宋体" w:hint="eastAsia"/>
          <w:sz w:val="24"/>
          <w:szCs w:val="24"/>
        </w:rPr>
        <w:t>在</w:t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81</w:t>
      </w:r>
      <w:r>
        <w:rPr>
          <w:rFonts w:ascii="宋体" w:eastAsia="宋体" w:hAnsi="宋体" w:hint="eastAsia"/>
          <w:sz w:val="24"/>
          <w:szCs w:val="24"/>
        </w:rPr>
        <w:t>%</w:t>
      </w:r>
      <w:r>
        <w:rPr>
          <w:rFonts w:ascii="Times New Roman" w:eastAsia="宋体" w:hAnsi="Times New Roman" w:cs="Times New Roman"/>
          <w:sz w:val="24"/>
          <w:szCs w:val="24"/>
        </w:rPr>
        <w:t>~</w:t>
      </w:r>
      <w:r>
        <w:rPr>
          <w:rFonts w:ascii="宋体" w:eastAsia="宋体" w:hAnsi="宋体" w:hint="eastAsia"/>
          <w:sz w:val="24"/>
          <w:szCs w:val="24"/>
        </w:rPr>
        <w:t>3.36</w:t>
      </w:r>
      <w:r>
        <w:rPr>
          <w:rFonts w:ascii="宋体" w:eastAsia="宋体" w:hAnsi="宋体" w:hint="eastAsia"/>
          <w:sz w:val="24"/>
          <w:szCs w:val="24"/>
        </w:rPr>
        <w:t>%</w:t>
      </w:r>
      <w:r>
        <w:rPr>
          <w:rFonts w:ascii="宋体" w:eastAsia="宋体" w:hAnsi="宋体" w:hint="eastAsia"/>
          <w:sz w:val="24"/>
          <w:szCs w:val="24"/>
        </w:rPr>
        <w:t>之间。均满足</w:t>
      </w:r>
      <w:r>
        <w:rPr>
          <w:rFonts w:ascii="宋体" w:eastAsia="宋体" w:hAnsi="宋体" w:hint="eastAsia"/>
          <w:sz w:val="24"/>
          <w:szCs w:val="24"/>
        </w:rPr>
        <w:t>GB/T 27417-2017</w:t>
      </w:r>
      <w:r>
        <w:rPr>
          <w:rFonts w:ascii="宋体" w:eastAsia="宋体" w:hAnsi="宋体" w:hint="eastAsia"/>
          <w:sz w:val="24"/>
          <w:szCs w:val="24"/>
        </w:rPr>
        <w:t>的要求。</w:t>
      </w:r>
    </w:p>
    <w:p w:rsidR="006C4C75" w:rsidRDefault="00526F34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表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精密度和正确度验证数据</w:t>
      </w:r>
    </w:p>
    <w:tbl>
      <w:tblPr>
        <w:tblStyle w:val="a6"/>
        <w:tblpPr w:leftFromText="180" w:rightFromText="180" w:vertAnchor="text" w:horzAnchor="page" w:tblpXSpec="center" w:tblpY="459"/>
        <w:tblOverlap w:val="never"/>
        <w:tblW w:w="9046" w:type="dxa"/>
        <w:jc w:val="center"/>
        <w:tblLayout w:type="fixed"/>
        <w:tblLook w:val="04A0" w:firstRow="1" w:lastRow="0" w:firstColumn="1" w:lastColumn="0" w:noHBand="0" w:noVBand="1"/>
      </w:tblPr>
      <w:tblGrid>
        <w:gridCol w:w="654"/>
        <w:gridCol w:w="759"/>
        <w:gridCol w:w="753"/>
        <w:gridCol w:w="753"/>
        <w:gridCol w:w="753"/>
        <w:gridCol w:w="753"/>
        <w:gridCol w:w="753"/>
        <w:gridCol w:w="753"/>
        <w:gridCol w:w="753"/>
        <w:gridCol w:w="760"/>
        <w:gridCol w:w="863"/>
        <w:gridCol w:w="739"/>
      </w:tblGrid>
      <w:tr w:rsidR="006C4C75">
        <w:trPr>
          <w:tblHeader/>
          <w:jc w:val="center"/>
        </w:trPr>
        <w:tc>
          <w:tcPr>
            <w:tcW w:w="14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编号</w:t>
            </w:r>
          </w:p>
        </w:tc>
        <w:tc>
          <w:tcPr>
            <w:tcW w:w="75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75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75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75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75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75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75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76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86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平均值</w:t>
            </w:r>
          </w:p>
        </w:tc>
        <w:tc>
          <w:tcPr>
            <w:tcW w:w="739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4C75" w:rsidRDefault="00526F3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RSD%</w:t>
            </w:r>
          </w:p>
        </w:tc>
      </w:tr>
      <w:tr w:rsidR="006C4C75">
        <w:trPr>
          <w:trHeight w:val="559"/>
          <w:jc w:val="center"/>
        </w:trPr>
        <w:tc>
          <w:tcPr>
            <w:tcW w:w="6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加标</w:t>
            </w:r>
            <w:r>
              <w:rPr>
                <w:rFonts w:ascii="宋体" w:eastAsia="宋体" w:hAnsi="宋体" w:hint="eastAsia"/>
                <w:szCs w:val="21"/>
              </w:rPr>
              <w:t>0.0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mg/L</w:t>
            </w:r>
          </w:p>
        </w:tc>
        <w:tc>
          <w:tcPr>
            <w:tcW w:w="759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强度</w:t>
            </w:r>
          </w:p>
        </w:tc>
        <w:tc>
          <w:tcPr>
            <w:tcW w:w="753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4.07e+05</w:t>
            </w:r>
          </w:p>
        </w:tc>
        <w:tc>
          <w:tcPr>
            <w:tcW w:w="753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3.96e+05</w:t>
            </w:r>
          </w:p>
        </w:tc>
        <w:tc>
          <w:tcPr>
            <w:tcW w:w="753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4.12e+05</w:t>
            </w:r>
          </w:p>
        </w:tc>
        <w:tc>
          <w:tcPr>
            <w:tcW w:w="753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4.13e+05</w:t>
            </w:r>
          </w:p>
        </w:tc>
        <w:tc>
          <w:tcPr>
            <w:tcW w:w="753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4.15e+05</w:t>
            </w:r>
          </w:p>
        </w:tc>
        <w:tc>
          <w:tcPr>
            <w:tcW w:w="753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4.11e+05</w:t>
            </w:r>
          </w:p>
        </w:tc>
        <w:tc>
          <w:tcPr>
            <w:tcW w:w="753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3.87e+05</w:t>
            </w:r>
          </w:p>
        </w:tc>
        <w:tc>
          <w:tcPr>
            <w:tcW w:w="760" w:type="dxa"/>
            <w:tcBorders>
              <w:top w:val="single" w:sz="12" w:space="0" w:color="000000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4.33e+05</w:t>
            </w:r>
          </w:p>
        </w:tc>
        <w:tc>
          <w:tcPr>
            <w:tcW w:w="863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4.09e+05</w:t>
            </w:r>
          </w:p>
        </w:tc>
        <w:tc>
          <w:tcPr>
            <w:tcW w:w="73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3.33</w:t>
            </w:r>
          </w:p>
        </w:tc>
      </w:tr>
      <w:tr w:rsidR="006C4C75">
        <w:trPr>
          <w:jc w:val="center"/>
        </w:trPr>
        <w:tc>
          <w:tcPr>
            <w:tcW w:w="654" w:type="dxa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6C4C75" w:rsidRDefault="006C4C7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59" w:type="dxa"/>
            <w:tcBorders>
              <w:left w:val="single" w:sz="4" w:space="0" w:color="000000"/>
            </w:tcBorders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浓度</w:t>
            </w:r>
            <w:r>
              <w:rPr>
                <w:rFonts w:ascii="宋体" w:eastAsia="宋体" w:hAnsi="宋体" w:hint="eastAsia"/>
                <w:szCs w:val="21"/>
              </w:rPr>
              <w:t>m</w:t>
            </w:r>
            <w:r>
              <w:rPr>
                <w:rFonts w:ascii="宋体" w:eastAsia="宋体" w:hAnsi="宋体" w:hint="eastAsia"/>
                <w:szCs w:val="21"/>
              </w:rPr>
              <w:t>g/L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0.028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0.027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0.029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0.029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0.029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0.029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0.027</w:t>
            </w:r>
          </w:p>
        </w:tc>
        <w:tc>
          <w:tcPr>
            <w:tcW w:w="760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0.03</w:t>
            </w:r>
          </w:p>
        </w:tc>
        <w:tc>
          <w:tcPr>
            <w:tcW w:w="86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0.0285</w:t>
            </w:r>
          </w:p>
        </w:tc>
        <w:tc>
          <w:tcPr>
            <w:tcW w:w="739" w:type="dxa"/>
            <w:vMerge/>
            <w:tcBorders>
              <w:right w:val="single" w:sz="12" w:space="0" w:color="000000"/>
            </w:tcBorders>
          </w:tcPr>
          <w:p w:rsidR="006C4C75" w:rsidRDefault="006C4C75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</w:p>
        </w:tc>
      </w:tr>
      <w:tr w:rsidR="006C4C75">
        <w:trPr>
          <w:jc w:val="center"/>
        </w:trPr>
        <w:tc>
          <w:tcPr>
            <w:tcW w:w="654" w:type="dxa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6C4C75" w:rsidRDefault="006C4C7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59" w:type="dxa"/>
            <w:tcBorders>
              <w:left w:val="single" w:sz="4" w:space="0" w:color="000000"/>
            </w:tcBorders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正确度</w:t>
            </w:r>
            <w:r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93.3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90.0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96.7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96.7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96.7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96.7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90.0 </w:t>
            </w:r>
          </w:p>
        </w:tc>
        <w:tc>
          <w:tcPr>
            <w:tcW w:w="760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100.0 </w:t>
            </w:r>
          </w:p>
        </w:tc>
        <w:tc>
          <w:tcPr>
            <w:tcW w:w="86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95.0 </w:t>
            </w:r>
          </w:p>
        </w:tc>
        <w:tc>
          <w:tcPr>
            <w:tcW w:w="739" w:type="dxa"/>
            <w:vMerge/>
            <w:tcBorders>
              <w:right w:val="single" w:sz="12" w:space="0" w:color="000000"/>
            </w:tcBorders>
          </w:tcPr>
          <w:p w:rsidR="006C4C75" w:rsidRDefault="006C4C75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</w:p>
        </w:tc>
      </w:tr>
      <w:tr w:rsidR="006C4C75">
        <w:trPr>
          <w:jc w:val="center"/>
        </w:trPr>
        <w:tc>
          <w:tcPr>
            <w:tcW w:w="654" w:type="dxa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6C4C75" w:rsidRDefault="006C4C7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392" w:type="dxa"/>
            <w:gridSpan w:val="11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重复性条件下获得的七次独立测定结果的极差为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0.003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，是算术平均值的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10.53%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6C4C75">
        <w:trPr>
          <w:trHeight w:val="605"/>
          <w:jc w:val="center"/>
        </w:trPr>
        <w:tc>
          <w:tcPr>
            <w:tcW w:w="654" w:type="dxa"/>
            <w:vMerge w:val="restart"/>
            <w:tcBorders>
              <w:left w:val="single" w:sz="12" w:space="0" w:color="000000"/>
            </w:tcBorders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加标</w:t>
            </w:r>
            <w:r>
              <w:rPr>
                <w:rFonts w:ascii="宋体" w:eastAsia="宋体" w:hAnsi="宋体" w:hint="eastAsia"/>
                <w:szCs w:val="21"/>
              </w:rPr>
              <w:t>0.</w:t>
            </w:r>
            <w:r>
              <w:rPr>
                <w:rFonts w:ascii="宋体" w:eastAsia="宋体" w:hAnsi="宋体" w:hint="eastAsia"/>
                <w:szCs w:val="21"/>
              </w:rPr>
              <w:t>15</w:t>
            </w:r>
            <w:r>
              <w:rPr>
                <w:rFonts w:ascii="宋体" w:eastAsia="宋体" w:hAnsi="宋体" w:hint="eastAsia"/>
                <w:szCs w:val="21"/>
              </w:rPr>
              <w:t>mg/L</w:t>
            </w:r>
          </w:p>
        </w:tc>
        <w:tc>
          <w:tcPr>
            <w:tcW w:w="759" w:type="dxa"/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强度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1.93e+06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1.87e+06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1.91e+06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1.94e+06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1.91e+06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1.93e+06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1.87e+06</w:t>
            </w:r>
          </w:p>
        </w:tc>
        <w:tc>
          <w:tcPr>
            <w:tcW w:w="760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1.85e+06</w:t>
            </w:r>
          </w:p>
        </w:tc>
        <w:tc>
          <w:tcPr>
            <w:tcW w:w="86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1.90e+06</w:t>
            </w:r>
          </w:p>
        </w:tc>
        <w:tc>
          <w:tcPr>
            <w:tcW w:w="739" w:type="dxa"/>
            <w:vMerge w:val="restart"/>
            <w:tcBorders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1.81</w:t>
            </w:r>
          </w:p>
        </w:tc>
      </w:tr>
      <w:tr w:rsidR="006C4C75">
        <w:trPr>
          <w:jc w:val="center"/>
        </w:trPr>
        <w:tc>
          <w:tcPr>
            <w:tcW w:w="654" w:type="dxa"/>
            <w:vMerge/>
            <w:tcBorders>
              <w:left w:val="single" w:sz="12" w:space="0" w:color="000000"/>
            </w:tcBorders>
            <w:vAlign w:val="center"/>
          </w:tcPr>
          <w:p w:rsidR="006C4C75" w:rsidRDefault="006C4C7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59" w:type="dxa"/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浓度</w:t>
            </w:r>
            <w:r>
              <w:rPr>
                <w:rFonts w:ascii="宋体" w:eastAsia="宋体" w:hAnsi="宋体" w:hint="eastAsia"/>
                <w:szCs w:val="21"/>
              </w:rPr>
              <w:t>m</w:t>
            </w:r>
            <w:r>
              <w:rPr>
                <w:rFonts w:ascii="宋体" w:eastAsia="宋体" w:hAnsi="宋体" w:hint="eastAsia"/>
                <w:szCs w:val="21"/>
              </w:rPr>
              <w:t>g/L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0.149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0.144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0.147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0.149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0.147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0.149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0.144</w:t>
            </w:r>
          </w:p>
        </w:tc>
        <w:tc>
          <w:tcPr>
            <w:tcW w:w="760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0.142</w:t>
            </w:r>
          </w:p>
        </w:tc>
        <w:tc>
          <w:tcPr>
            <w:tcW w:w="86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0.146375</w:t>
            </w:r>
          </w:p>
        </w:tc>
        <w:tc>
          <w:tcPr>
            <w:tcW w:w="739" w:type="dxa"/>
            <w:vMerge/>
            <w:tcBorders>
              <w:right w:val="single" w:sz="12" w:space="0" w:color="000000"/>
            </w:tcBorders>
            <w:vAlign w:val="center"/>
          </w:tcPr>
          <w:p w:rsidR="006C4C75" w:rsidRDefault="006C4C75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</w:p>
        </w:tc>
      </w:tr>
      <w:tr w:rsidR="006C4C75">
        <w:trPr>
          <w:jc w:val="center"/>
        </w:trPr>
        <w:tc>
          <w:tcPr>
            <w:tcW w:w="654" w:type="dxa"/>
            <w:vMerge/>
            <w:tcBorders>
              <w:left w:val="single" w:sz="12" w:space="0" w:color="000000"/>
            </w:tcBorders>
            <w:vAlign w:val="center"/>
          </w:tcPr>
          <w:p w:rsidR="006C4C75" w:rsidRDefault="006C4C7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59" w:type="dxa"/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回收率</w:t>
            </w:r>
            <w:r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99.3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96.0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98.0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99.3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98.0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99.3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96.0 </w:t>
            </w:r>
          </w:p>
        </w:tc>
        <w:tc>
          <w:tcPr>
            <w:tcW w:w="760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94.7 </w:t>
            </w:r>
          </w:p>
        </w:tc>
        <w:tc>
          <w:tcPr>
            <w:tcW w:w="86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97.6 </w:t>
            </w:r>
          </w:p>
        </w:tc>
        <w:tc>
          <w:tcPr>
            <w:tcW w:w="739" w:type="dxa"/>
            <w:vMerge/>
            <w:tcBorders>
              <w:right w:val="single" w:sz="12" w:space="0" w:color="000000"/>
            </w:tcBorders>
            <w:vAlign w:val="center"/>
          </w:tcPr>
          <w:p w:rsidR="006C4C75" w:rsidRDefault="006C4C75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</w:p>
        </w:tc>
      </w:tr>
      <w:tr w:rsidR="006C4C75">
        <w:trPr>
          <w:jc w:val="center"/>
        </w:trPr>
        <w:tc>
          <w:tcPr>
            <w:tcW w:w="654" w:type="dxa"/>
            <w:vMerge/>
            <w:tcBorders>
              <w:left w:val="single" w:sz="12" w:space="0" w:color="000000"/>
            </w:tcBorders>
            <w:vAlign w:val="center"/>
          </w:tcPr>
          <w:p w:rsidR="006C4C75" w:rsidRDefault="006C4C7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392" w:type="dxa"/>
            <w:gridSpan w:val="11"/>
            <w:tcBorders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重复性条件下获得的七次独立测定结果的极差为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0.007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，是算术平均值的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4.78%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6C4C75">
        <w:trPr>
          <w:trHeight w:val="561"/>
          <w:jc w:val="center"/>
        </w:trPr>
        <w:tc>
          <w:tcPr>
            <w:tcW w:w="654" w:type="dxa"/>
            <w:vMerge w:val="restart"/>
            <w:tcBorders>
              <w:left w:val="single" w:sz="12" w:space="0" w:color="000000"/>
            </w:tcBorders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加标</w:t>
            </w:r>
            <w:r>
              <w:rPr>
                <w:rFonts w:ascii="宋体" w:eastAsia="宋体" w:hAnsi="宋体" w:hint="eastAsia"/>
                <w:szCs w:val="21"/>
              </w:rPr>
              <w:t>0.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mg/L</w:t>
            </w:r>
          </w:p>
        </w:tc>
        <w:tc>
          <w:tcPr>
            <w:tcW w:w="759" w:type="dxa"/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强度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3.64e+06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3.61e+06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3.62e+06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3.61e+06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3.38e+06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3.40e+06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3.42e+06</w:t>
            </w:r>
          </w:p>
        </w:tc>
        <w:tc>
          <w:tcPr>
            <w:tcW w:w="760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3.41e+06</w:t>
            </w:r>
          </w:p>
        </w:tc>
        <w:tc>
          <w:tcPr>
            <w:tcW w:w="86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3.51e+06</w:t>
            </w:r>
          </w:p>
        </w:tc>
        <w:tc>
          <w:tcPr>
            <w:tcW w:w="739" w:type="dxa"/>
            <w:vMerge w:val="restart"/>
            <w:tcBorders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3.36</w:t>
            </w:r>
          </w:p>
        </w:tc>
      </w:tr>
      <w:tr w:rsidR="006C4C75">
        <w:trPr>
          <w:jc w:val="center"/>
        </w:trPr>
        <w:tc>
          <w:tcPr>
            <w:tcW w:w="654" w:type="dxa"/>
            <w:vMerge/>
            <w:tcBorders>
              <w:left w:val="single" w:sz="12" w:space="0" w:color="000000"/>
            </w:tcBorders>
            <w:vAlign w:val="center"/>
          </w:tcPr>
          <w:p w:rsidR="006C4C75" w:rsidRDefault="006C4C7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59" w:type="dxa"/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浓度</w:t>
            </w:r>
            <w:r>
              <w:rPr>
                <w:rFonts w:ascii="宋体" w:eastAsia="宋体" w:hAnsi="宋体" w:hint="eastAsia"/>
                <w:szCs w:val="21"/>
              </w:rPr>
              <w:t>m</w:t>
            </w:r>
            <w:r>
              <w:rPr>
                <w:rFonts w:ascii="宋体" w:eastAsia="宋体" w:hAnsi="宋体" w:hint="eastAsia"/>
                <w:szCs w:val="21"/>
              </w:rPr>
              <w:t>g/L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0.303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0.3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0.302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0.3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0.281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0.282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0.283</w:t>
            </w:r>
          </w:p>
        </w:tc>
        <w:tc>
          <w:tcPr>
            <w:tcW w:w="760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0.282</w:t>
            </w:r>
          </w:p>
        </w:tc>
        <w:tc>
          <w:tcPr>
            <w:tcW w:w="86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0.291625</w:t>
            </w:r>
          </w:p>
        </w:tc>
        <w:tc>
          <w:tcPr>
            <w:tcW w:w="739" w:type="dxa"/>
            <w:vMerge/>
            <w:tcBorders>
              <w:right w:val="single" w:sz="12" w:space="0" w:color="000000"/>
            </w:tcBorders>
          </w:tcPr>
          <w:p w:rsidR="006C4C75" w:rsidRDefault="006C4C75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</w:p>
        </w:tc>
      </w:tr>
      <w:tr w:rsidR="006C4C75">
        <w:trPr>
          <w:jc w:val="center"/>
        </w:trPr>
        <w:tc>
          <w:tcPr>
            <w:tcW w:w="654" w:type="dxa"/>
            <w:vMerge/>
            <w:tcBorders>
              <w:left w:val="single" w:sz="12" w:space="0" w:color="000000"/>
            </w:tcBorders>
            <w:vAlign w:val="center"/>
          </w:tcPr>
          <w:p w:rsidR="006C4C75" w:rsidRDefault="006C4C7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59" w:type="dxa"/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回收率</w:t>
            </w:r>
            <w:r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101.0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100.0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100.7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100.0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93.7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94.0 </w:t>
            </w:r>
          </w:p>
        </w:tc>
        <w:tc>
          <w:tcPr>
            <w:tcW w:w="75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94.3 </w:t>
            </w:r>
          </w:p>
        </w:tc>
        <w:tc>
          <w:tcPr>
            <w:tcW w:w="760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94.0 </w:t>
            </w:r>
          </w:p>
        </w:tc>
        <w:tc>
          <w:tcPr>
            <w:tcW w:w="863" w:type="dxa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97.2 </w:t>
            </w:r>
          </w:p>
        </w:tc>
        <w:tc>
          <w:tcPr>
            <w:tcW w:w="739" w:type="dxa"/>
            <w:vMerge/>
            <w:tcBorders>
              <w:right w:val="single" w:sz="12" w:space="0" w:color="000000"/>
            </w:tcBorders>
          </w:tcPr>
          <w:p w:rsidR="006C4C75" w:rsidRDefault="006C4C75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</w:p>
        </w:tc>
      </w:tr>
      <w:tr w:rsidR="006C4C75">
        <w:trPr>
          <w:jc w:val="center"/>
        </w:trPr>
        <w:tc>
          <w:tcPr>
            <w:tcW w:w="654" w:type="dxa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6C4C75" w:rsidRDefault="006C4C7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392" w:type="dxa"/>
            <w:gridSpan w:val="11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6C4C75" w:rsidRDefault="00526F34">
            <w:pPr>
              <w:spacing w:line="360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重复性条件下获得的七次独立测定结果的极差为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0.022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，是算术平均值的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7.54%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</w:tbl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根据</w:t>
      </w:r>
      <w:r>
        <w:rPr>
          <w:rFonts w:ascii="宋体" w:eastAsia="宋体" w:hAnsi="宋体" w:hint="eastAsia"/>
          <w:sz w:val="24"/>
          <w:szCs w:val="24"/>
        </w:rPr>
        <w:t>表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的检测数据，将精密度要求定为“在重复性条件下获得的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次独立测定结</w:t>
      </w:r>
      <w:r>
        <w:rPr>
          <w:rFonts w:ascii="宋体" w:eastAsia="宋体" w:hAnsi="宋体" w:hint="eastAsia"/>
          <w:sz w:val="24"/>
          <w:szCs w:val="24"/>
        </w:rPr>
        <w:t>果的绝对差值不得超过算数平均值的</w:t>
      </w:r>
      <w:r>
        <w:rPr>
          <w:rFonts w:ascii="宋体" w:eastAsia="宋体" w:hAnsi="宋体" w:hint="eastAsia"/>
          <w:sz w:val="24"/>
          <w:szCs w:val="24"/>
        </w:rPr>
        <w:t>20%</w:t>
      </w:r>
      <w:r>
        <w:rPr>
          <w:rFonts w:ascii="宋体" w:eastAsia="宋体" w:hAnsi="宋体" w:hint="eastAsia"/>
          <w:sz w:val="24"/>
          <w:szCs w:val="24"/>
        </w:rPr>
        <w:t>。”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样品检测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标准起草组选取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个</w:t>
      </w:r>
      <w:r>
        <w:rPr>
          <w:rFonts w:ascii="宋体" w:eastAsia="宋体" w:hAnsi="宋体" w:hint="eastAsia"/>
          <w:sz w:val="24"/>
          <w:szCs w:val="24"/>
        </w:rPr>
        <w:t>具有代表性的</w:t>
      </w:r>
      <w:r>
        <w:rPr>
          <w:rFonts w:ascii="宋体" w:eastAsia="宋体" w:hAnsi="宋体" w:hint="eastAsia"/>
          <w:sz w:val="24"/>
          <w:szCs w:val="24"/>
        </w:rPr>
        <w:t>食用盐</w:t>
      </w:r>
      <w:r>
        <w:rPr>
          <w:rFonts w:ascii="宋体" w:eastAsia="宋体" w:hAnsi="宋体" w:hint="eastAsia"/>
          <w:sz w:val="24"/>
          <w:szCs w:val="24"/>
        </w:rPr>
        <w:t>产品</w:t>
      </w:r>
      <w:r>
        <w:rPr>
          <w:rFonts w:ascii="宋体" w:eastAsia="宋体" w:hAnsi="宋体" w:hint="eastAsia"/>
          <w:sz w:val="24"/>
          <w:szCs w:val="24"/>
        </w:rPr>
        <w:t>进行</w:t>
      </w:r>
      <w:r>
        <w:rPr>
          <w:rFonts w:ascii="宋体" w:eastAsia="宋体" w:hAnsi="宋体" w:hint="eastAsia"/>
          <w:sz w:val="24"/>
          <w:szCs w:val="24"/>
        </w:rPr>
        <w:t>丙烯酰胺</w:t>
      </w:r>
      <w:r>
        <w:rPr>
          <w:rFonts w:ascii="宋体" w:eastAsia="宋体" w:hAnsi="宋体" w:hint="eastAsia"/>
          <w:sz w:val="24"/>
          <w:szCs w:val="24"/>
        </w:rPr>
        <w:t>含量的检测。</w:t>
      </w:r>
      <w:r>
        <w:rPr>
          <w:rFonts w:ascii="宋体" w:eastAsia="宋体" w:hAnsi="宋体" w:hint="eastAsia"/>
          <w:sz w:val="24"/>
          <w:szCs w:val="24"/>
        </w:rPr>
        <w:t>并进行了加标回收试验</w:t>
      </w:r>
      <w:r>
        <w:rPr>
          <w:rFonts w:ascii="宋体" w:eastAsia="宋体" w:hAnsi="宋体" w:hint="eastAsia"/>
          <w:sz w:val="24"/>
          <w:szCs w:val="24"/>
        </w:rPr>
        <w:t>。数据见表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。可见</w:t>
      </w:r>
      <w:r>
        <w:rPr>
          <w:rFonts w:ascii="宋体" w:eastAsia="宋体" w:hAnsi="宋体" w:hint="eastAsia"/>
          <w:sz w:val="24"/>
          <w:szCs w:val="24"/>
        </w:rPr>
        <w:t>回收率</w:t>
      </w:r>
      <w:r>
        <w:rPr>
          <w:rFonts w:ascii="宋体" w:eastAsia="宋体" w:hAnsi="宋体" w:hint="eastAsia"/>
          <w:sz w:val="24"/>
          <w:szCs w:val="24"/>
        </w:rPr>
        <w:t>均可满足国家标准要求。</w:t>
      </w:r>
    </w:p>
    <w:p w:rsidR="006C4C75" w:rsidRDefault="00526F34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表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个食用盐产品中丙烯酰胺含量及加标回收情况</w:t>
      </w:r>
    </w:p>
    <w:tbl>
      <w:tblPr>
        <w:tblStyle w:val="a6"/>
        <w:tblW w:w="8521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2"/>
        <w:gridCol w:w="2256"/>
        <w:gridCol w:w="2215"/>
        <w:gridCol w:w="2128"/>
      </w:tblGrid>
      <w:tr w:rsidR="006C4C75">
        <w:trPr>
          <w:tblHeader/>
          <w:jc w:val="center"/>
        </w:trPr>
        <w:tc>
          <w:tcPr>
            <w:tcW w:w="1922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C4C75" w:rsidRDefault="00526F3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样品编号</w:t>
            </w:r>
          </w:p>
        </w:tc>
        <w:tc>
          <w:tcPr>
            <w:tcW w:w="2256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响应值</w:t>
            </w:r>
          </w:p>
        </w:tc>
        <w:tc>
          <w:tcPr>
            <w:tcW w:w="2215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浓度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mg/L</w:t>
            </w:r>
          </w:p>
        </w:tc>
        <w:tc>
          <w:tcPr>
            <w:tcW w:w="2128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回收率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%</w:t>
            </w:r>
          </w:p>
        </w:tc>
      </w:tr>
      <w:tr w:rsidR="006C4C75">
        <w:trPr>
          <w:trHeight w:val="325"/>
          <w:jc w:val="center"/>
        </w:trPr>
        <w:tc>
          <w:tcPr>
            <w:tcW w:w="1922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256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215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128" w:type="dxa"/>
            <w:vMerge w:val="restar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84</w:t>
            </w:r>
          </w:p>
        </w:tc>
      </w:tr>
      <w:tr w:rsidR="006C4C75">
        <w:trPr>
          <w:jc w:val="center"/>
        </w:trPr>
        <w:tc>
          <w:tcPr>
            <w:tcW w:w="1922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加标</w:t>
            </w:r>
          </w:p>
        </w:tc>
        <w:tc>
          <w:tcPr>
            <w:tcW w:w="2256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5.77e+05</w:t>
            </w:r>
          </w:p>
        </w:tc>
        <w:tc>
          <w:tcPr>
            <w:tcW w:w="2215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0.042</w:t>
            </w:r>
          </w:p>
        </w:tc>
        <w:tc>
          <w:tcPr>
            <w:tcW w:w="2128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C4C75" w:rsidRDefault="006C4C75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C4C75">
        <w:trPr>
          <w:trHeight w:val="279"/>
          <w:jc w:val="center"/>
        </w:trPr>
        <w:tc>
          <w:tcPr>
            <w:tcW w:w="1922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</w:t>
            </w:r>
          </w:p>
        </w:tc>
        <w:tc>
          <w:tcPr>
            <w:tcW w:w="2256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215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128" w:type="dxa"/>
            <w:vMerge w:val="restar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92</w:t>
            </w:r>
          </w:p>
        </w:tc>
      </w:tr>
      <w:tr w:rsidR="006C4C75">
        <w:trPr>
          <w:jc w:val="center"/>
        </w:trPr>
        <w:tc>
          <w:tcPr>
            <w:tcW w:w="1922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加标</w:t>
            </w:r>
          </w:p>
        </w:tc>
        <w:tc>
          <w:tcPr>
            <w:tcW w:w="2256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6.31e+05</w:t>
            </w:r>
          </w:p>
        </w:tc>
        <w:tc>
          <w:tcPr>
            <w:tcW w:w="2215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0.046</w:t>
            </w:r>
          </w:p>
        </w:tc>
        <w:tc>
          <w:tcPr>
            <w:tcW w:w="2128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C4C75" w:rsidRDefault="006C4C7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6C4C75">
        <w:trPr>
          <w:jc w:val="center"/>
        </w:trPr>
        <w:tc>
          <w:tcPr>
            <w:tcW w:w="1922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256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215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128" w:type="dxa"/>
            <w:vMerge w:val="restar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90</w:t>
            </w:r>
          </w:p>
        </w:tc>
      </w:tr>
      <w:tr w:rsidR="006C4C75">
        <w:trPr>
          <w:jc w:val="center"/>
        </w:trPr>
        <w:tc>
          <w:tcPr>
            <w:tcW w:w="1922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加标</w:t>
            </w:r>
          </w:p>
        </w:tc>
        <w:tc>
          <w:tcPr>
            <w:tcW w:w="2256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6.22e+05</w:t>
            </w:r>
          </w:p>
        </w:tc>
        <w:tc>
          <w:tcPr>
            <w:tcW w:w="2215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0.045</w:t>
            </w:r>
          </w:p>
        </w:tc>
        <w:tc>
          <w:tcPr>
            <w:tcW w:w="2128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C4C75" w:rsidRDefault="006C4C7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6C4C75">
        <w:trPr>
          <w:jc w:val="center"/>
        </w:trPr>
        <w:tc>
          <w:tcPr>
            <w:tcW w:w="1922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256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215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128" w:type="dxa"/>
            <w:vMerge w:val="restar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88</w:t>
            </w:r>
          </w:p>
        </w:tc>
      </w:tr>
      <w:tr w:rsidR="006C4C75">
        <w:trPr>
          <w:jc w:val="center"/>
        </w:trPr>
        <w:tc>
          <w:tcPr>
            <w:tcW w:w="1922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加标</w:t>
            </w:r>
          </w:p>
        </w:tc>
        <w:tc>
          <w:tcPr>
            <w:tcW w:w="2256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6.10e+05</w:t>
            </w:r>
          </w:p>
        </w:tc>
        <w:tc>
          <w:tcPr>
            <w:tcW w:w="2215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0.044</w:t>
            </w:r>
          </w:p>
        </w:tc>
        <w:tc>
          <w:tcPr>
            <w:tcW w:w="2128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C4C75" w:rsidRDefault="006C4C7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6C4C75">
        <w:trPr>
          <w:trHeight w:val="313"/>
          <w:jc w:val="center"/>
        </w:trPr>
        <w:tc>
          <w:tcPr>
            <w:tcW w:w="1922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2256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215" w:type="dxa"/>
            <w:tcBorders>
              <w:top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128" w:type="dxa"/>
            <w:vMerge w:val="restar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90</w:t>
            </w:r>
          </w:p>
        </w:tc>
      </w:tr>
      <w:tr w:rsidR="006C4C75">
        <w:trPr>
          <w:jc w:val="center"/>
        </w:trPr>
        <w:tc>
          <w:tcPr>
            <w:tcW w:w="1922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加标</w:t>
            </w:r>
          </w:p>
        </w:tc>
        <w:tc>
          <w:tcPr>
            <w:tcW w:w="2256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6.12e+05</w:t>
            </w:r>
          </w:p>
        </w:tc>
        <w:tc>
          <w:tcPr>
            <w:tcW w:w="2215" w:type="dxa"/>
            <w:tcBorders>
              <w:bottom w:val="single" w:sz="12" w:space="0" w:color="000000"/>
              <w:tl2br w:val="nil"/>
              <w:tr2bl w:val="nil"/>
            </w:tcBorders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0.045</w:t>
            </w:r>
          </w:p>
        </w:tc>
        <w:tc>
          <w:tcPr>
            <w:tcW w:w="2128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C4C75" w:rsidRDefault="006C4C75">
            <w:pPr>
              <w:widowControl/>
              <w:jc w:val="center"/>
              <w:textAlignment w:val="center"/>
              <w:rPr>
                <w:rFonts w:ascii="等线" w:eastAsia="等线" w:hAnsi="等线"/>
                <w:color w:val="000000"/>
                <w:sz w:val="22"/>
              </w:rPr>
            </w:pPr>
          </w:p>
        </w:tc>
      </w:tr>
      <w:tr w:rsidR="006C4C75">
        <w:trPr>
          <w:jc w:val="center"/>
        </w:trPr>
        <w:tc>
          <w:tcPr>
            <w:tcW w:w="1922" w:type="dxa"/>
            <w:tcBorders>
              <w:top w:val="single" w:sz="12" w:space="0" w:color="000000"/>
              <w:tl2br w:val="nil"/>
              <w:tr2bl w:val="nil"/>
            </w:tcBorders>
            <w:shd w:val="clear" w:color="auto" w:fill="auto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2256" w:type="dxa"/>
            <w:tcBorders>
              <w:top w:val="single" w:sz="12" w:space="0" w:color="000000"/>
              <w:tl2br w:val="nil"/>
              <w:tr2bl w:val="nil"/>
            </w:tcBorders>
            <w:shd w:val="clear" w:color="auto" w:fill="auto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215" w:type="dxa"/>
            <w:tcBorders>
              <w:top w:val="single" w:sz="12" w:space="0" w:color="000000"/>
              <w:tl2br w:val="nil"/>
              <w:tr2bl w:val="nil"/>
            </w:tcBorders>
            <w:shd w:val="clear" w:color="auto" w:fill="auto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N/A</w:t>
            </w:r>
          </w:p>
        </w:tc>
        <w:tc>
          <w:tcPr>
            <w:tcW w:w="2128" w:type="dxa"/>
            <w:vMerge w:val="restart"/>
            <w:tcBorders>
              <w:top w:val="single" w:sz="1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6C4C75" w:rsidRDefault="00526F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88</w:t>
            </w:r>
          </w:p>
        </w:tc>
      </w:tr>
      <w:tr w:rsidR="006C4C75">
        <w:trPr>
          <w:jc w:val="center"/>
        </w:trPr>
        <w:tc>
          <w:tcPr>
            <w:tcW w:w="1922" w:type="dxa"/>
            <w:tcBorders>
              <w:tl2br w:val="nil"/>
              <w:tr2bl w:val="nil"/>
            </w:tcBorders>
            <w:shd w:val="clear" w:color="auto" w:fill="auto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加标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shd w:val="clear" w:color="auto" w:fill="auto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6.03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e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+05</w:t>
            </w:r>
          </w:p>
        </w:tc>
        <w:tc>
          <w:tcPr>
            <w:tcW w:w="2215" w:type="dxa"/>
            <w:tcBorders>
              <w:tl2br w:val="nil"/>
              <w:tr2bl w:val="nil"/>
            </w:tcBorders>
            <w:shd w:val="clear" w:color="auto" w:fill="auto"/>
          </w:tcPr>
          <w:p w:rsidR="006C4C75" w:rsidRDefault="00526F34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0.044</w:t>
            </w:r>
          </w:p>
        </w:tc>
        <w:tc>
          <w:tcPr>
            <w:tcW w:w="2128" w:type="dxa"/>
            <w:vMerge/>
            <w:tcBorders>
              <w:tl2br w:val="nil"/>
              <w:tr2bl w:val="nil"/>
            </w:tcBorders>
            <w:vAlign w:val="center"/>
          </w:tcPr>
          <w:p w:rsidR="006C4C75" w:rsidRDefault="006C4C75">
            <w:pPr>
              <w:widowControl/>
              <w:jc w:val="center"/>
              <w:textAlignment w:val="center"/>
              <w:rPr>
                <w:rFonts w:ascii="等线" w:eastAsia="等线" w:hAnsi="等线"/>
                <w:color w:val="000000"/>
                <w:sz w:val="22"/>
              </w:rPr>
            </w:pPr>
          </w:p>
        </w:tc>
      </w:tr>
    </w:tbl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四、标准中涉及专利情况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本标准中不涉及专利问题。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五、预期达到的社会效益、对产业发展的作用等情况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统一规范检测方法，</w:t>
      </w:r>
      <w:proofErr w:type="gramStart"/>
      <w:r>
        <w:rPr>
          <w:rFonts w:ascii="宋体" w:eastAsia="宋体" w:hAnsi="宋体" w:hint="eastAsia"/>
          <w:sz w:val="24"/>
          <w:szCs w:val="24"/>
        </w:rPr>
        <w:t>填补国</w:t>
      </w:r>
      <w:proofErr w:type="gramEnd"/>
      <w:r>
        <w:rPr>
          <w:rFonts w:ascii="宋体" w:eastAsia="宋体" w:hAnsi="宋体" w:hint="eastAsia"/>
          <w:sz w:val="24"/>
          <w:szCs w:val="24"/>
        </w:rPr>
        <w:t>内盐行业此方面空白。对盐行业发展具有重要的现实意义。提高产品质量，增强市场竞争力。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六、与国际、国外对比情况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本标准制定过程中未查到同类国际、国外标准，没有采用国际标准或国外先进标准。本标准水平为国内领先水平。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七、在标准体系中的位置，与现行相关法律、法规、规章及相关标准，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bCs/>
          <w:sz w:val="24"/>
          <w:szCs w:val="24"/>
        </w:rPr>
        <w:t>特别是强制性标准的协调性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本专业领域的标准体系框架如下图：</w:t>
      </w:r>
    </w:p>
    <w:p w:rsidR="006C4C75" w:rsidRDefault="00526F34">
      <w:pPr>
        <w:spacing w:line="360" w:lineRule="auto"/>
        <w:ind w:leftChars="-136" w:left="-3" w:hangingChars="118" w:hanging="283"/>
        <w:rPr>
          <w:rFonts w:ascii="宋体" w:eastAsia="宋体" w:hAnsi="宋体"/>
          <w:sz w:val="24"/>
          <w:szCs w:val="24"/>
        </w:rPr>
      </w:pPr>
      <w:r>
        <w:rPr>
          <w:color w:val="000000" w:themeColor="text1"/>
          <w:sz w:val="24"/>
        </w:rPr>
        <w:object w:dxaOrig="9197" w:dyaOrig="4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pt;height:217pt" o:ole="">
            <v:imagedata r:id="rId7" o:title=""/>
          </v:shape>
          <o:OLEObject Type="Embed" ProgID="Visio.Drawing.11" ShapeID="_x0000_i1025" DrawAspect="Content" ObjectID="_1846483877" r:id="rId8"/>
        </w:object>
      </w:r>
      <w:r>
        <w:rPr>
          <w:rFonts w:hint="eastAsia"/>
          <w:color w:val="000000" w:themeColor="text1"/>
          <w:sz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根据全国盐业标准化技术委员会提出的盐业“十四五”标准体系建设方案，此次</w:t>
      </w:r>
      <w:r>
        <w:rPr>
          <w:rFonts w:ascii="宋体" w:eastAsia="宋体" w:hAnsi="宋体" w:hint="eastAsia"/>
          <w:sz w:val="24"/>
          <w:szCs w:val="24"/>
        </w:rPr>
        <w:lastRenderedPageBreak/>
        <w:t>制定的《制盐工业通用检测方法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丙烯酰胺</w:t>
      </w:r>
      <w:r>
        <w:rPr>
          <w:rFonts w:ascii="宋体" w:eastAsia="宋体" w:hAnsi="宋体" w:hint="eastAsia"/>
          <w:sz w:val="24"/>
          <w:szCs w:val="24"/>
        </w:rPr>
        <w:t>的测定》行业标准属于“</w:t>
      </w:r>
      <w:r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其他”，其体系表编号为“</w:t>
      </w:r>
      <w:r>
        <w:rPr>
          <w:rFonts w:ascii="宋体" w:eastAsia="宋体" w:hAnsi="宋体" w:hint="eastAsia"/>
          <w:sz w:val="24"/>
          <w:szCs w:val="24"/>
        </w:rPr>
        <w:t>152950000000000026FF</w:t>
      </w:r>
      <w:r>
        <w:rPr>
          <w:rFonts w:ascii="宋体" w:eastAsia="宋体" w:hAnsi="宋体" w:hint="eastAsia"/>
          <w:sz w:val="24"/>
          <w:szCs w:val="24"/>
        </w:rPr>
        <w:t>”。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本标准与现行相关法</w:t>
      </w:r>
      <w:r>
        <w:rPr>
          <w:rFonts w:ascii="宋体" w:eastAsia="宋体" w:hAnsi="宋体" w:hint="eastAsia"/>
          <w:sz w:val="24"/>
          <w:szCs w:val="24"/>
        </w:rPr>
        <w:t>律、法规、规章及相关标准协调一致。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八、重大分歧意见的处理经过和依据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无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九、标准性质的建议说明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建议本标准的性质为推荐性行业标准。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十、贯彻标准的要求和措施建议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建议本标准批准发布</w:t>
      </w:r>
      <w:r>
        <w:rPr>
          <w:rFonts w:ascii="宋体" w:eastAsia="宋体" w:hAnsi="宋体"/>
          <w:sz w:val="24"/>
          <w:szCs w:val="24"/>
        </w:rPr>
        <w:t xml:space="preserve"> 6 </w:t>
      </w:r>
      <w:proofErr w:type="gramStart"/>
      <w:r>
        <w:rPr>
          <w:rFonts w:ascii="宋体" w:eastAsia="宋体" w:hAnsi="宋体" w:hint="eastAsia"/>
          <w:sz w:val="24"/>
          <w:szCs w:val="24"/>
        </w:rPr>
        <w:t>个</w:t>
      </w:r>
      <w:proofErr w:type="gramEnd"/>
      <w:r>
        <w:rPr>
          <w:rFonts w:ascii="宋体" w:eastAsia="宋体" w:hAnsi="宋体" w:hint="eastAsia"/>
          <w:sz w:val="24"/>
          <w:szCs w:val="24"/>
        </w:rPr>
        <w:t>月后实施。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十一、废止现行相关标准的建议</w:t>
      </w:r>
    </w:p>
    <w:p w:rsidR="006C4C75" w:rsidRDefault="00526F3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无。</w:t>
      </w:r>
    </w:p>
    <w:p w:rsidR="006C4C75" w:rsidRDefault="00526F34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十二、其他</w:t>
      </w:r>
      <w:r w:rsidRPr="00526F34">
        <w:rPr>
          <w:rFonts w:ascii="宋体" w:eastAsia="宋体" w:hAnsi="宋体" w:hint="eastAsia"/>
          <w:b/>
          <w:bCs/>
          <w:sz w:val="24"/>
          <w:szCs w:val="24"/>
        </w:rPr>
        <w:t>应予说明的事</w:t>
      </w:r>
      <w:r w:rsidRPr="00526F34">
        <w:rPr>
          <w:rFonts w:ascii="宋体" w:eastAsia="宋体" w:hAnsi="宋体" w:hint="eastAsia"/>
          <w:b/>
          <w:bCs/>
          <w:sz w:val="24"/>
          <w:szCs w:val="24"/>
        </w:rPr>
        <w:t>项</w:t>
      </w:r>
    </w:p>
    <w:p w:rsidR="006C4C75" w:rsidRDefault="00526F34">
      <w:pPr>
        <w:tabs>
          <w:tab w:val="left" w:pos="420"/>
        </w:tabs>
        <w:spacing w:line="360" w:lineRule="auto"/>
        <w:ind w:left="-3" w:firstLineChars="176" w:firstLine="422"/>
        <w:rPr>
          <w:rFonts w:ascii="宋体" w:eastAsia="宋体" w:hAnsi="宋体"/>
          <w:sz w:val="24"/>
          <w:szCs w:val="24"/>
        </w:rPr>
      </w:pPr>
      <w:bookmarkStart w:id="0" w:name="附件3_征求意见表"/>
      <w:bookmarkStart w:id="1" w:name="_GoBack"/>
      <w:bookmarkEnd w:id="0"/>
      <w:r>
        <w:rPr>
          <w:rFonts w:ascii="宋体" w:eastAsia="宋体" w:hAnsi="宋体" w:hint="eastAsia"/>
          <w:sz w:val="24"/>
          <w:szCs w:val="24"/>
        </w:rPr>
        <w:t>计划项目原起草单位为“国盐检测（天津）有限责任公司</w:t>
      </w:r>
      <w:r>
        <w:rPr>
          <w:rFonts w:ascii="宋体" w:eastAsia="宋体" w:hAnsi="宋体" w:hint="eastAsia"/>
          <w:sz w:val="24"/>
          <w:szCs w:val="24"/>
        </w:rPr>
        <w:t>、中盐工程技术研究院有限公司、天津科技大学</w:t>
      </w:r>
      <w:r>
        <w:rPr>
          <w:rFonts w:ascii="宋体" w:eastAsia="宋体" w:hAnsi="宋体" w:hint="eastAsia"/>
          <w:sz w:val="24"/>
          <w:szCs w:val="24"/>
        </w:rPr>
        <w:t>”。在标准起草过程中，中盐金坛盐化有限责任公司</w:t>
      </w:r>
      <w:r>
        <w:rPr>
          <w:rFonts w:ascii="宋体" w:eastAsia="宋体" w:hAnsi="宋体" w:hint="eastAsia"/>
          <w:sz w:val="24"/>
          <w:szCs w:val="24"/>
        </w:rPr>
        <w:t>、云南省盐业有限公司、四川为众检测科技有限公司</w:t>
      </w:r>
      <w:r>
        <w:rPr>
          <w:rFonts w:ascii="宋体" w:eastAsia="宋体" w:hAnsi="宋体" w:hint="eastAsia"/>
          <w:sz w:val="24"/>
          <w:szCs w:val="24"/>
        </w:rPr>
        <w:t>做了大量工作。工作组经研讨，提出标准起草单位变更的申请，依据贡献量的大小，将起草单位及排列顺序申请改为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国盐检测（天津）有限责任公司、中盐工程技术研究院有限公司</w:t>
      </w:r>
      <w:r>
        <w:rPr>
          <w:rFonts w:ascii="宋体" w:eastAsia="宋体" w:hAnsi="宋体" w:hint="eastAsia"/>
          <w:sz w:val="24"/>
          <w:szCs w:val="24"/>
        </w:rPr>
        <w:t>、天津科技大学、</w:t>
      </w:r>
      <w:r>
        <w:rPr>
          <w:rFonts w:ascii="宋体" w:eastAsia="宋体" w:hAnsi="宋体" w:hint="eastAsia"/>
          <w:sz w:val="24"/>
          <w:szCs w:val="24"/>
        </w:rPr>
        <w:t>中盐金坛盐化有限责任公司</w:t>
      </w:r>
      <w:r>
        <w:rPr>
          <w:rFonts w:ascii="宋体" w:eastAsia="宋体" w:hAnsi="宋体" w:hint="eastAsia"/>
          <w:sz w:val="24"/>
          <w:szCs w:val="24"/>
        </w:rPr>
        <w:t>、云南省盐业有限公司、四川为众检测科技有限公司”。</w:t>
      </w:r>
      <w:r>
        <w:rPr>
          <w:rFonts w:ascii="宋体" w:eastAsia="宋体" w:hAnsi="宋体" w:hint="eastAsia"/>
          <w:sz w:val="24"/>
          <w:szCs w:val="24"/>
        </w:rPr>
        <w:t>标准起草单位变更经全体委员一致同意后，于</w:t>
      </w:r>
      <w:r>
        <w:rPr>
          <w:rFonts w:ascii="宋体" w:eastAsia="宋体" w:hAnsi="宋体" w:hint="eastAsia"/>
          <w:sz w:val="24"/>
          <w:szCs w:val="24"/>
        </w:rPr>
        <w:t>202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日办理了计划项目调整申请。</w:t>
      </w:r>
    </w:p>
    <w:bookmarkEnd w:id="1"/>
    <w:p w:rsidR="006C4C75" w:rsidRDefault="00526F34">
      <w:pPr>
        <w:tabs>
          <w:tab w:val="left" w:pos="420"/>
        </w:tabs>
        <w:spacing w:line="360" w:lineRule="auto"/>
        <w:ind w:left="-3" w:firstLineChars="176" w:firstLine="42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以上变更经全体委员一致同意。</w:t>
      </w:r>
    </w:p>
    <w:p w:rsidR="006C4C75" w:rsidRDefault="006C4C75">
      <w:pPr>
        <w:tabs>
          <w:tab w:val="left" w:pos="420"/>
        </w:tabs>
        <w:spacing w:line="360" w:lineRule="auto"/>
        <w:ind w:left="-3" w:firstLineChars="176" w:firstLine="422"/>
        <w:rPr>
          <w:rFonts w:ascii="宋体" w:eastAsia="宋体" w:hAnsi="宋体"/>
          <w:sz w:val="24"/>
          <w:szCs w:val="24"/>
        </w:rPr>
      </w:pPr>
    </w:p>
    <w:p w:rsidR="006C4C75" w:rsidRDefault="00526F34">
      <w:pPr>
        <w:spacing w:line="360" w:lineRule="auto"/>
        <w:jc w:val="right"/>
        <w:rPr>
          <w:rFonts w:ascii="宋体" w:eastAsia="宋体" w:hAnsi="宋体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《制盐工业通用检测方法</w:t>
      </w:r>
      <w:r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  <w:r>
        <w:rPr>
          <w:rFonts w:ascii="宋体" w:eastAsia="宋体" w:hAnsi="宋体" w:hint="eastAsia"/>
          <w:b/>
          <w:bCs/>
          <w:sz w:val="24"/>
          <w:szCs w:val="28"/>
        </w:rPr>
        <w:t>丙烯酰胺</w:t>
      </w:r>
      <w:r>
        <w:rPr>
          <w:rFonts w:ascii="宋体" w:eastAsia="宋体" w:hAnsi="宋体" w:hint="eastAsia"/>
          <w:b/>
          <w:bCs/>
          <w:sz w:val="24"/>
          <w:szCs w:val="28"/>
        </w:rPr>
        <w:t>的</w:t>
      </w:r>
      <w:r>
        <w:rPr>
          <w:rFonts w:ascii="宋体" w:eastAsia="宋体" w:hAnsi="宋体" w:hint="eastAsia"/>
          <w:b/>
          <w:bCs/>
          <w:sz w:val="24"/>
          <w:szCs w:val="28"/>
        </w:rPr>
        <w:t>测定》标准起草工作组</w:t>
      </w:r>
    </w:p>
    <w:p w:rsidR="006C4C75" w:rsidRDefault="00526F34">
      <w:pPr>
        <w:spacing w:line="360" w:lineRule="auto"/>
        <w:ind w:firstLineChars="200" w:firstLine="480"/>
        <w:jc w:val="right"/>
        <w:rPr>
          <w:rFonts w:ascii="宋体" w:eastAsia="宋体" w:hAnsi="宋体"/>
          <w:sz w:val="22"/>
        </w:rPr>
      </w:pPr>
      <w:r>
        <w:rPr>
          <w:rFonts w:ascii="宋体" w:hAnsi="宋体"/>
          <w:b/>
          <w:bCs/>
          <w:sz w:val="24"/>
          <w:szCs w:val="24"/>
        </w:rPr>
        <w:t xml:space="preserve">          </w:t>
      </w:r>
      <w:r>
        <w:rPr>
          <w:rFonts w:ascii="宋体" w:hAnsi="宋体" w:hint="eastAsia"/>
          <w:b/>
          <w:bCs/>
          <w:sz w:val="24"/>
          <w:szCs w:val="24"/>
        </w:rPr>
        <w:t>202</w:t>
      </w:r>
      <w:r>
        <w:rPr>
          <w:rFonts w:ascii="宋体" w:hAnsi="宋体" w:hint="eastAsia"/>
          <w:b/>
          <w:bCs/>
          <w:sz w:val="24"/>
          <w:szCs w:val="24"/>
        </w:rPr>
        <w:t>6</w:t>
      </w:r>
      <w:r>
        <w:rPr>
          <w:rFonts w:ascii="宋体" w:hAnsi="宋体" w:hint="eastAsia"/>
          <w:b/>
          <w:bCs/>
          <w:sz w:val="24"/>
          <w:szCs w:val="24"/>
        </w:rPr>
        <w:t>年</w:t>
      </w:r>
      <w:r>
        <w:rPr>
          <w:rFonts w:ascii="宋体" w:hAnsi="宋体" w:hint="eastAsia"/>
          <w:b/>
          <w:bCs/>
          <w:sz w:val="24"/>
          <w:szCs w:val="24"/>
        </w:rPr>
        <w:t>7</w:t>
      </w:r>
      <w:r>
        <w:rPr>
          <w:rFonts w:ascii="宋体" w:hAnsi="宋体" w:hint="eastAsia"/>
          <w:b/>
          <w:bCs/>
          <w:sz w:val="24"/>
          <w:szCs w:val="24"/>
        </w:rPr>
        <w:t>月</w:t>
      </w:r>
      <w:r>
        <w:rPr>
          <w:rFonts w:ascii="宋体" w:hAnsi="宋体" w:hint="eastAsia"/>
          <w:b/>
          <w:bCs/>
          <w:sz w:val="24"/>
          <w:szCs w:val="24"/>
        </w:rPr>
        <w:t>20</w:t>
      </w:r>
      <w:r>
        <w:rPr>
          <w:rFonts w:ascii="宋体" w:hAnsi="宋体" w:hint="eastAsia"/>
          <w:b/>
          <w:bCs/>
          <w:sz w:val="24"/>
          <w:szCs w:val="24"/>
        </w:rPr>
        <w:t>日</w:t>
      </w:r>
    </w:p>
    <w:sectPr w:rsidR="006C4C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B0B"/>
    <w:rsid w:val="00003640"/>
    <w:rsid w:val="00040133"/>
    <w:rsid w:val="000437C0"/>
    <w:rsid w:val="00043EEB"/>
    <w:rsid w:val="000448C9"/>
    <w:rsid w:val="0005057E"/>
    <w:rsid w:val="00052E45"/>
    <w:rsid w:val="00071BEC"/>
    <w:rsid w:val="0009333D"/>
    <w:rsid w:val="000A4DAB"/>
    <w:rsid w:val="000A50C9"/>
    <w:rsid w:val="000B5597"/>
    <w:rsid w:val="000B5F1C"/>
    <w:rsid w:val="000B62B9"/>
    <w:rsid w:val="000B6987"/>
    <w:rsid w:val="000C1DE1"/>
    <w:rsid w:val="000D2BF6"/>
    <w:rsid w:val="000D6CA7"/>
    <w:rsid w:val="000E0527"/>
    <w:rsid w:val="000E0994"/>
    <w:rsid w:val="000E7703"/>
    <w:rsid w:val="00104114"/>
    <w:rsid w:val="0012570B"/>
    <w:rsid w:val="00135471"/>
    <w:rsid w:val="00160077"/>
    <w:rsid w:val="001857DB"/>
    <w:rsid w:val="001A0958"/>
    <w:rsid w:val="001A0AA2"/>
    <w:rsid w:val="001B3225"/>
    <w:rsid w:val="001B433E"/>
    <w:rsid w:val="001C2970"/>
    <w:rsid w:val="001C4779"/>
    <w:rsid w:val="001F67E9"/>
    <w:rsid w:val="00216E88"/>
    <w:rsid w:val="00230B03"/>
    <w:rsid w:val="00235CEB"/>
    <w:rsid w:val="00246A1B"/>
    <w:rsid w:val="0026415F"/>
    <w:rsid w:val="002665DA"/>
    <w:rsid w:val="002731B4"/>
    <w:rsid w:val="00274C4E"/>
    <w:rsid w:val="00275E59"/>
    <w:rsid w:val="002761FD"/>
    <w:rsid w:val="00286F23"/>
    <w:rsid w:val="002B1378"/>
    <w:rsid w:val="002B7EE1"/>
    <w:rsid w:val="002C27F7"/>
    <w:rsid w:val="002D245A"/>
    <w:rsid w:val="002D47AB"/>
    <w:rsid w:val="002E2A70"/>
    <w:rsid w:val="002F1811"/>
    <w:rsid w:val="002F484F"/>
    <w:rsid w:val="00310B37"/>
    <w:rsid w:val="00311031"/>
    <w:rsid w:val="003141F5"/>
    <w:rsid w:val="003276DE"/>
    <w:rsid w:val="00327CA1"/>
    <w:rsid w:val="003313FE"/>
    <w:rsid w:val="00351F5B"/>
    <w:rsid w:val="00363069"/>
    <w:rsid w:val="0036677E"/>
    <w:rsid w:val="00366F1B"/>
    <w:rsid w:val="00381D26"/>
    <w:rsid w:val="00394C3C"/>
    <w:rsid w:val="003A38E2"/>
    <w:rsid w:val="003B3C2F"/>
    <w:rsid w:val="003B45CD"/>
    <w:rsid w:val="003B7A3A"/>
    <w:rsid w:val="003B7BCF"/>
    <w:rsid w:val="003C3018"/>
    <w:rsid w:val="003E30FE"/>
    <w:rsid w:val="003F5B60"/>
    <w:rsid w:val="004076B4"/>
    <w:rsid w:val="00421106"/>
    <w:rsid w:val="00437CB3"/>
    <w:rsid w:val="00442EE9"/>
    <w:rsid w:val="0044324F"/>
    <w:rsid w:val="00450E0E"/>
    <w:rsid w:val="004650E3"/>
    <w:rsid w:val="00466C63"/>
    <w:rsid w:val="004942DF"/>
    <w:rsid w:val="004A3873"/>
    <w:rsid w:val="004A77E7"/>
    <w:rsid w:val="004B413F"/>
    <w:rsid w:val="004D6C3B"/>
    <w:rsid w:val="004E6D02"/>
    <w:rsid w:val="00501ABE"/>
    <w:rsid w:val="0051664A"/>
    <w:rsid w:val="00526F34"/>
    <w:rsid w:val="0053259F"/>
    <w:rsid w:val="005465A0"/>
    <w:rsid w:val="00564E4A"/>
    <w:rsid w:val="00566FC7"/>
    <w:rsid w:val="0057245F"/>
    <w:rsid w:val="00582FA6"/>
    <w:rsid w:val="00586B78"/>
    <w:rsid w:val="00594218"/>
    <w:rsid w:val="005C5033"/>
    <w:rsid w:val="005D7A80"/>
    <w:rsid w:val="005D7E16"/>
    <w:rsid w:val="0063352E"/>
    <w:rsid w:val="006410D4"/>
    <w:rsid w:val="00647047"/>
    <w:rsid w:val="00653CF9"/>
    <w:rsid w:val="00662B22"/>
    <w:rsid w:val="00663E4D"/>
    <w:rsid w:val="00666917"/>
    <w:rsid w:val="00672B0B"/>
    <w:rsid w:val="00672FEA"/>
    <w:rsid w:val="006776B6"/>
    <w:rsid w:val="006A52C6"/>
    <w:rsid w:val="006C2411"/>
    <w:rsid w:val="006C4C75"/>
    <w:rsid w:val="006D193C"/>
    <w:rsid w:val="006E4BD4"/>
    <w:rsid w:val="006F14B5"/>
    <w:rsid w:val="006F1FA5"/>
    <w:rsid w:val="006F6DA6"/>
    <w:rsid w:val="00700363"/>
    <w:rsid w:val="0071446D"/>
    <w:rsid w:val="00716FA2"/>
    <w:rsid w:val="00733F77"/>
    <w:rsid w:val="00734246"/>
    <w:rsid w:val="007556E1"/>
    <w:rsid w:val="007A3CF2"/>
    <w:rsid w:val="007C1A28"/>
    <w:rsid w:val="007D7036"/>
    <w:rsid w:val="007E2314"/>
    <w:rsid w:val="007F21C7"/>
    <w:rsid w:val="007F723B"/>
    <w:rsid w:val="00801527"/>
    <w:rsid w:val="00802BA9"/>
    <w:rsid w:val="00807F67"/>
    <w:rsid w:val="0081521F"/>
    <w:rsid w:val="00817470"/>
    <w:rsid w:val="00820968"/>
    <w:rsid w:val="00821B8E"/>
    <w:rsid w:val="008363BD"/>
    <w:rsid w:val="00847192"/>
    <w:rsid w:val="00855F6A"/>
    <w:rsid w:val="00857E7E"/>
    <w:rsid w:val="008632CA"/>
    <w:rsid w:val="0086436C"/>
    <w:rsid w:val="00873998"/>
    <w:rsid w:val="00882CF5"/>
    <w:rsid w:val="00891E7B"/>
    <w:rsid w:val="00895D72"/>
    <w:rsid w:val="008A3AED"/>
    <w:rsid w:val="008A5175"/>
    <w:rsid w:val="008A5487"/>
    <w:rsid w:val="008D0613"/>
    <w:rsid w:val="008D1401"/>
    <w:rsid w:val="008E2C1F"/>
    <w:rsid w:val="008E35C5"/>
    <w:rsid w:val="008F3106"/>
    <w:rsid w:val="008F6184"/>
    <w:rsid w:val="008F7111"/>
    <w:rsid w:val="00906DA6"/>
    <w:rsid w:val="00915502"/>
    <w:rsid w:val="0092450A"/>
    <w:rsid w:val="00927D4B"/>
    <w:rsid w:val="009306DE"/>
    <w:rsid w:val="009316BB"/>
    <w:rsid w:val="0094455B"/>
    <w:rsid w:val="00975BF8"/>
    <w:rsid w:val="009845AA"/>
    <w:rsid w:val="00985C6B"/>
    <w:rsid w:val="00986805"/>
    <w:rsid w:val="009A337E"/>
    <w:rsid w:val="009B21CD"/>
    <w:rsid w:val="009B33D8"/>
    <w:rsid w:val="009C1AB7"/>
    <w:rsid w:val="009C7F02"/>
    <w:rsid w:val="009E5FF7"/>
    <w:rsid w:val="009F28F7"/>
    <w:rsid w:val="009F52A1"/>
    <w:rsid w:val="009F745A"/>
    <w:rsid w:val="00A01505"/>
    <w:rsid w:val="00A027F9"/>
    <w:rsid w:val="00A03FBD"/>
    <w:rsid w:val="00A046DA"/>
    <w:rsid w:val="00A04916"/>
    <w:rsid w:val="00A06BA0"/>
    <w:rsid w:val="00A10FB9"/>
    <w:rsid w:val="00A344E9"/>
    <w:rsid w:val="00A34E4C"/>
    <w:rsid w:val="00A42918"/>
    <w:rsid w:val="00A50F59"/>
    <w:rsid w:val="00A76721"/>
    <w:rsid w:val="00A86362"/>
    <w:rsid w:val="00A92421"/>
    <w:rsid w:val="00A971E6"/>
    <w:rsid w:val="00AA3F4F"/>
    <w:rsid w:val="00AB3FD0"/>
    <w:rsid w:val="00AB4A07"/>
    <w:rsid w:val="00AC27FB"/>
    <w:rsid w:val="00AD44AE"/>
    <w:rsid w:val="00AE1580"/>
    <w:rsid w:val="00AE15E9"/>
    <w:rsid w:val="00AE2663"/>
    <w:rsid w:val="00AE44B6"/>
    <w:rsid w:val="00AF67A3"/>
    <w:rsid w:val="00B03B39"/>
    <w:rsid w:val="00B10788"/>
    <w:rsid w:val="00B151B7"/>
    <w:rsid w:val="00B15D1E"/>
    <w:rsid w:val="00B213DC"/>
    <w:rsid w:val="00B27105"/>
    <w:rsid w:val="00B31026"/>
    <w:rsid w:val="00B337A4"/>
    <w:rsid w:val="00B33C87"/>
    <w:rsid w:val="00B40A29"/>
    <w:rsid w:val="00B439E5"/>
    <w:rsid w:val="00B44D7A"/>
    <w:rsid w:val="00B51442"/>
    <w:rsid w:val="00B61E7A"/>
    <w:rsid w:val="00B6766C"/>
    <w:rsid w:val="00B72737"/>
    <w:rsid w:val="00B8649E"/>
    <w:rsid w:val="00BA1751"/>
    <w:rsid w:val="00BC184A"/>
    <w:rsid w:val="00BD155B"/>
    <w:rsid w:val="00BD47B9"/>
    <w:rsid w:val="00BD6D82"/>
    <w:rsid w:val="00BD72B0"/>
    <w:rsid w:val="00BE4DB3"/>
    <w:rsid w:val="00BE7B1E"/>
    <w:rsid w:val="00C039D0"/>
    <w:rsid w:val="00C10612"/>
    <w:rsid w:val="00C2476B"/>
    <w:rsid w:val="00C32DA0"/>
    <w:rsid w:val="00C40BBA"/>
    <w:rsid w:val="00C45981"/>
    <w:rsid w:val="00C46B10"/>
    <w:rsid w:val="00C503FF"/>
    <w:rsid w:val="00C563A1"/>
    <w:rsid w:val="00C73C9A"/>
    <w:rsid w:val="00C7712B"/>
    <w:rsid w:val="00C77554"/>
    <w:rsid w:val="00C9264E"/>
    <w:rsid w:val="00C938F5"/>
    <w:rsid w:val="00CA2047"/>
    <w:rsid w:val="00CB08F3"/>
    <w:rsid w:val="00CB2EA9"/>
    <w:rsid w:val="00CB4D4D"/>
    <w:rsid w:val="00CC455D"/>
    <w:rsid w:val="00CD4343"/>
    <w:rsid w:val="00CD44DA"/>
    <w:rsid w:val="00CD653A"/>
    <w:rsid w:val="00CF0037"/>
    <w:rsid w:val="00D00003"/>
    <w:rsid w:val="00D14CEA"/>
    <w:rsid w:val="00D15414"/>
    <w:rsid w:val="00D21809"/>
    <w:rsid w:val="00D21B16"/>
    <w:rsid w:val="00D24175"/>
    <w:rsid w:val="00D24A94"/>
    <w:rsid w:val="00D4351E"/>
    <w:rsid w:val="00D47179"/>
    <w:rsid w:val="00D4753A"/>
    <w:rsid w:val="00D6578A"/>
    <w:rsid w:val="00D71ED2"/>
    <w:rsid w:val="00D84DB0"/>
    <w:rsid w:val="00D87EF2"/>
    <w:rsid w:val="00D90E2B"/>
    <w:rsid w:val="00D914A4"/>
    <w:rsid w:val="00DB4000"/>
    <w:rsid w:val="00DB51AE"/>
    <w:rsid w:val="00DC5763"/>
    <w:rsid w:val="00DD152D"/>
    <w:rsid w:val="00DD2F13"/>
    <w:rsid w:val="00DE2008"/>
    <w:rsid w:val="00DE71A3"/>
    <w:rsid w:val="00DE75B4"/>
    <w:rsid w:val="00E03F8E"/>
    <w:rsid w:val="00E17F06"/>
    <w:rsid w:val="00E3004D"/>
    <w:rsid w:val="00E35463"/>
    <w:rsid w:val="00E36AE7"/>
    <w:rsid w:val="00E43252"/>
    <w:rsid w:val="00E67366"/>
    <w:rsid w:val="00E70B66"/>
    <w:rsid w:val="00E71749"/>
    <w:rsid w:val="00E81070"/>
    <w:rsid w:val="00E84966"/>
    <w:rsid w:val="00E926E4"/>
    <w:rsid w:val="00EA2EF2"/>
    <w:rsid w:val="00EA6753"/>
    <w:rsid w:val="00EB29CC"/>
    <w:rsid w:val="00EB2F93"/>
    <w:rsid w:val="00EC135A"/>
    <w:rsid w:val="00ED6B63"/>
    <w:rsid w:val="00EE22FE"/>
    <w:rsid w:val="00EE47B3"/>
    <w:rsid w:val="00EF052B"/>
    <w:rsid w:val="00EF580F"/>
    <w:rsid w:val="00F1293E"/>
    <w:rsid w:val="00F16E0D"/>
    <w:rsid w:val="00F34D77"/>
    <w:rsid w:val="00F35F42"/>
    <w:rsid w:val="00F42CED"/>
    <w:rsid w:val="00F82E17"/>
    <w:rsid w:val="00F921AA"/>
    <w:rsid w:val="00F97F6F"/>
    <w:rsid w:val="00FE3B4F"/>
    <w:rsid w:val="00FE73E6"/>
    <w:rsid w:val="00FF5B9E"/>
    <w:rsid w:val="00FF5D30"/>
    <w:rsid w:val="022278B2"/>
    <w:rsid w:val="137D0DEC"/>
    <w:rsid w:val="13FB251C"/>
    <w:rsid w:val="15CD6C3F"/>
    <w:rsid w:val="18352539"/>
    <w:rsid w:val="195F4A92"/>
    <w:rsid w:val="1CAE0692"/>
    <w:rsid w:val="1CCC41C6"/>
    <w:rsid w:val="1E8725E6"/>
    <w:rsid w:val="22BD1A25"/>
    <w:rsid w:val="24A12B74"/>
    <w:rsid w:val="275E5BAF"/>
    <w:rsid w:val="2FF563FD"/>
    <w:rsid w:val="39F42517"/>
    <w:rsid w:val="3B02795F"/>
    <w:rsid w:val="424B6805"/>
    <w:rsid w:val="43A02582"/>
    <w:rsid w:val="44614ACB"/>
    <w:rsid w:val="46E56A5F"/>
    <w:rsid w:val="4B7A2D83"/>
    <w:rsid w:val="4D9F7D3A"/>
    <w:rsid w:val="4F0C2002"/>
    <w:rsid w:val="50E9068C"/>
    <w:rsid w:val="50F3137A"/>
    <w:rsid w:val="50F72AAC"/>
    <w:rsid w:val="547D414D"/>
    <w:rsid w:val="58257C5B"/>
    <w:rsid w:val="58CB22BD"/>
    <w:rsid w:val="5C983C73"/>
    <w:rsid w:val="5CE703A3"/>
    <w:rsid w:val="5F0F2D19"/>
    <w:rsid w:val="60902D55"/>
    <w:rsid w:val="62447B40"/>
    <w:rsid w:val="637BA636"/>
    <w:rsid w:val="663341B6"/>
    <w:rsid w:val="66FB0739"/>
    <w:rsid w:val="685A568A"/>
    <w:rsid w:val="687F340A"/>
    <w:rsid w:val="68C34CB3"/>
    <w:rsid w:val="696C4AC8"/>
    <w:rsid w:val="6ABB3600"/>
    <w:rsid w:val="6C2B1967"/>
    <w:rsid w:val="6C7746DD"/>
    <w:rsid w:val="6C8A6409"/>
    <w:rsid w:val="720C5E8E"/>
    <w:rsid w:val="767D7E95"/>
    <w:rsid w:val="7689454B"/>
    <w:rsid w:val="79CC3315"/>
    <w:rsid w:val="79D5004C"/>
    <w:rsid w:val="7AFFD717"/>
    <w:rsid w:val="7F1F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209D27C-7D98-4A19-9FE9-528547AE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8">
    <w:name w:val="段"/>
    <w:link w:val="Char1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1">
    <w:name w:val="段 Char"/>
    <w:link w:val="a8"/>
    <w:qFormat/>
    <w:rPr>
      <w:rFonts w:ascii="宋体" w:eastAsia="宋体" w:hAnsi="Times New Roman" w:cs="Times New Roman"/>
      <w:sz w:val="21"/>
    </w:rPr>
  </w:style>
  <w:style w:type="paragraph" w:customStyle="1" w:styleId="a9">
    <w:name w:val="正文公式编号制表符"/>
    <w:basedOn w:val="a8"/>
    <w:next w:val="a8"/>
    <w:qFormat/>
    <w:pPr>
      <w:ind w:firstLineChars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793</Words>
  <Characters>4524</Characters>
  <Application>Microsoft Office Word</Application>
  <DocSecurity>0</DocSecurity>
  <Lines>37</Lines>
  <Paragraphs>10</Paragraphs>
  <ScaleCrop>false</ScaleCrop>
  <Company>Microsoft</Company>
  <LinksUpToDate>false</LinksUpToDate>
  <CharactersWithSpaces>5307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 YS</dc:creator>
  <cp:lastModifiedBy>Microsoft 帐户</cp:lastModifiedBy>
  <cp:revision>162</cp:revision>
  <dcterms:created xsi:type="dcterms:W3CDTF">2021-05-29T06:35:00Z</dcterms:created>
  <dcterms:modified xsi:type="dcterms:W3CDTF">2026-07-25T03:25:00Z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052A9B57044845809FE5A1FBEFF13177</vt:lpwstr>
  </property>
  <property fmtid="{D5CDD505-2E9C-101B-9397-08002B2CF9AE}" pid="4" name="KSOTemplateDocerSaveRecord">
    <vt:lpwstr>eyJoZGlkIjoiMjQ4OTljNjkwZDc5NGVkZjM5MDA0NjM0NzI0YTRjZGIiLCJ1c2VySWQiOiIxMDYyOTUwNDY5In0=</vt:lpwstr>
  </property>
</Properties>
</file>